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BCEE" w14:textId="1BF94DAE" w:rsidR="00381BF5" w:rsidRPr="003946A8" w:rsidRDefault="00381BF5" w:rsidP="00381BF5">
      <w:pPr>
        <w:contextualSpacing/>
        <w:jc w:val="center"/>
        <w:rPr>
          <w:b/>
          <w:bCs/>
          <w:sz w:val="20"/>
          <w:szCs w:val="20"/>
        </w:rPr>
      </w:pPr>
      <w:r w:rsidRPr="003946A8">
        <w:rPr>
          <w:b/>
          <w:bCs/>
          <w:sz w:val="20"/>
          <w:szCs w:val="20"/>
        </w:rPr>
        <w:t>The Housing Authority of</w:t>
      </w:r>
      <w:r w:rsidR="00F32587">
        <w:rPr>
          <w:b/>
          <w:bCs/>
          <w:sz w:val="20"/>
          <w:szCs w:val="20"/>
        </w:rPr>
        <w:t xml:space="preserve"> Salem</w:t>
      </w:r>
      <w:r w:rsidRPr="003946A8">
        <w:rPr>
          <w:b/>
          <w:bCs/>
          <w:sz w:val="20"/>
          <w:szCs w:val="20"/>
        </w:rPr>
        <w:t>, New Jersey</w:t>
      </w:r>
    </w:p>
    <w:p w14:paraId="3406F093" w14:textId="4F20D563" w:rsidR="00381BF5" w:rsidRDefault="00381BF5" w:rsidP="00381BF5">
      <w:pPr>
        <w:contextualSpacing/>
        <w:jc w:val="center"/>
        <w:rPr>
          <w:b/>
          <w:bCs/>
          <w:sz w:val="20"/>
          <w:szCs w:val="20"/>
        </w:rPr>
      </w:pPr>
      <w:r w:rsidRPr="003946A8">
        <w:rPr>
          <w:b/>
          <w:bCs/>
          <w:sz w:val="20"/>
          <w:szCs w:val="20"/>
        </w:rPr>
        <w:t>Announces the Opening of the Waiting List for the Housing Choice Voucher Program</w:t>
      </w:r>
    </w:p>
    <w:p w14:paraId="39A718BF" w14:textId="77777777" w:rsidR="003946A8" w:rsidRPr="003946A8" w:rsidRDefault="003946A8" w:rsidP="003946A8">
      <w:pPr>
        <w:contextualSpacing/>
        <w:rPr>
          <w:b/>
          <w:bCs/>
          <w:sz w:val="20"/>
          <w:szCs w:val="20"/>
        </w:rPr>
      </w:pPr>
    </w:p>
    <w:p w14:paraId="4EDC1703" w14:textId="2F79422D" w:rsidR="00381BF5" w:rsidRPr="003946A8" w:rsidRDefault="00381BF5" w:rsidP="009435F5">
      <w:pPr>
        <w:ind w:firstLine="720"/>
        <w:rPr>
          <w:sz w:val="20"/>
          <w:szCs w:val="20"/>
        </w:rPr>
      </w:pPr>
      <w:r w:rsidRPr="003946A8">
        <w:rPr>
          <w:sz w:val="20"/>
          <w:szCs w:val="20"/>
        </w:rPr>
        <w:t xml:space="preserve">The </w:t>
      </w:r>
      <w:r w:rsidR="00F32587">
        <w:rPr>
          <w:sz w:val="20"/>
          <w:szCs w:val="20"/>
        </w:rPr>
        <w:t>Salem</w:t>
      </w:r>
      <w:r w:rsidRPr="003946A8">
        <w:rPr>
          <w:sz w:val="20"/>
          <w:szCs w:val="20"/>
        </w:rPr>
        <w:t xml:space="preserve"> Housing Authority </w:t>
      </w:r>
      <w:r w:rsidR="00C5014F">
        <w:rPr>
          <w:sz w:val="20"/>
          <w:szCs w:val="20"/>
        </w:rPr>
        <w:t xml:space="preserve">(SHA) </w:t>
      </w:r>
      <w:r w:rsidRPr="003946A8">
        <w:rPr>
          <w:sz w:val="20"/>
          <w:szCs w:val="20"/>
        </w:rPr>
        <w:t xml:space="preserve">will open the waiting list for the Housing Choice Voucher Program </w:t>
      </w:r>
      <w:r w:rsidR="00687541">
        <w:rPr>
          <w:sz w:val="20"/>
          <w:szCs w:val="20"/>
        </w:rPr>
        <w:t xml:space="preserve">(HCVP) </w:t>
      </w:r>
      <w:r w:rsidRPr="003946A8">
        <w:rPr>
          <w:sz w:val="20"/>
          <w:szCs w:val="20"/>
        </w:rPr>
        <w:t xml:space="preserve">from </w:t>
      </w:r>
      <w:r w:rsidR="00A07F21">
        <w:rPr>
          <w:sz w:val="20"/>
          <w:szCs w:val="20"/>
        </w:rPr>
        <w:t>February 1</w:t>
      </w:r>
      <w:r w:rsidRPr="003946A8">
        <w:rPr>
          <w:sz w:val="20"/>
          <w:szCs w:val="20"/>
        </w:rPr>
        <w:t>, 2021 9:00 AM EST to February 1</w:t>
      </w:r>
      <w:r w:rsidR="00A07F21">
        <w:rPr>
          <w:sz w:val="20"/>
          <w:szCs w:val="20"/>
        </w:rPr>
        <w:t>5</w:t>
      </w:r>
      <w:r w:rsidRPr="003946A8">
        <w:rPr>
          <w:sz w:val="20"/>
          <w:szCs w:val="20"/>
        </w:rPr>
        <w:t xml:space="preserve">, 2021 4:00 PM EST.  </w:t>
      </w:r>
    </w:p>
    <w:p w14:paraId="4F794A87" w14:textId="78050533" w:rsidR="00381BF5" w:rsidRPr="003946A8" w:rsidRDefault="009435F5" w:rsidP="00381BF5">
      <w:pPr>
        <w:rPr>
          <w:sz w:val="20"/>
          <w:szCs w:val="20"/>
        </w:rPr>
      </w:pPr>
      <w:r w:rsidRPr="003946A8">
        <w:rPr>
          <w:sz w:val="20"/>
          <w:szCs w:val="20"/>
        </w:rPr>
        <w:tab/>
      </w:r>
      <w:r w:rsidR="00381BF5" w:rsidRPr="003946A8">
        <w:rPr>
          <w:sz w:val="20"/>
          <w:szCs w:val="20"/>
        </w:rPr>
        <w:t>The H</w:t>
      </w:r>
      <w:r w:rsidR="00687541">
        <w:rPr>
          <w:sz w:val="20"/>
          <w:szCs w:val="20"/>
        </w:rPr>
        <w:t>CVP</w:t>
      </w:r>
      <w:r w:rsidR="00381BF5" w:rsidRPr="003946A8">
        <w:rPr>
          <w:sz w:val="20"/>
          <w:szCs w:val="20"/>
        </w:rPr>
        <w:t xml:space="preserve"> is a federally funded program providing housing subsidies on behalf of low-income persons for decent, </w:t>
      </w:r>
      <w:proofErr w:type="gramStart"/>
      <w:r w:rsidR="00381BF5" w:rsidRPr="003946A8">
        <w:rPr>
          <w:sz w:val="20"/>
          <w:szCs w:val="20"/>
        </w:rPr>
        <w:t>safe</w:t>
      </w:r>
      <w:proofErr w:type="gramEnd"/>
      <w:r w:rsidR="00381BF5" w:rsidRPr="003946A8">
        <w:rPr>
          <w:sz w:val="20"/>
          <w:szCs w:val="20"/>
        </w:rPr>
        <w:t xml:space="preserve"> and sanitary housing.  Persons applying must meet </w:t>
      </w:r>
      <w:proofErr w:type="gramStart"/>
      <w:r w:rsidR="00381BF5" w:rsidRPr="003946A8">
        <w:rPr>
          <w:sz w:val="20"/>
          <w:szCs w:val="20"/>
        </w:rPr>
        <w:t>all of</w:t>
      </w:r>
      <w:proofErr w:type="gramEnd"/>
      <w:r w:rsidR="00381BF5" w:rsidRPr="003946A8">
        <w:rPr>
          <w:sz w:val="20"/>
          <w:szCs w:val="20"/>
        </w:rPr>
        <w:t xml:space="preserve"> the U.S. Department of Housing and Urban Development’s (HUD) income and eligibility requirements.</w:t>
      </w:r>
    </w:p>
    <w:p w14:paraId="6D58C957" w14:textId="1408E716" w:rsidR="00381BF5" w:rsidRPr="003946A8" w:rsidRDefault="00381BF5" w:rsidP="009435F5">
      <w:pPr>
        <w:ind w:firstLine="720"/>
        <w:rPr>
          <w:sz w:val="20"/>
          <w:szCs w:val="20"/>
        </w:rPr>
      </w:pPr>
      <w:r w:rsidRPr="003946A8">
        <w:rPr>
          <w:sz w:val="20"/>
          <w:szCs w:val="20"/>
        </w:rPr>
        <w:t>All applications must be submitted on-line</w:t>
      </w:r>
      <w:r w:rsidR="00F249FE">
        <w:rPr>
          <w:sz w:val="20"/>
          <w:szCs w:val="20"/>
        </w:rPr>
        <w:t xml:space="preserve"> at </w:t>
      </w:r>
      <w:hyperlink r:id="rId5" w:history="1">
        <w:r w:rsidR="00F249FE" w:rsidRPr="00823C79">
          <w:rPr>
            <w:rStyle w:val="Hyperlink"/>
            <w:sz w:val="20"/>
            <w:szCs w:val="20"/>
          </w:rPr>
          <w:t>https://pha-web.com/portal/applicant/salem/</w:t>
        </w:r>
      </w:hyperlink>
      <w:r w:rsidRPr="003946A8">
        <w:rPr>
          <w:sz w:val="20"/>
          <w:szCs w:val="20"/>
        </w:rPr>
        <w:t>.</w:t>
      </w:r>
      <w:r w:rsidR="00F249FE">
        <w:rPr>
          <w:sz w:val="20"/>
          <w:szCs w:val="20"/>
        </w:rPr>
        <w:t xml:space="preserve"> </w:t>
      </w:r>
      <w:r w:rsidRPr="003946A8">
        <w:rPr>
          <w:sz w:val="20"/>
          <w:szCs w:val="20"/>
        </w:rPr>
        <w:t xml:space="preserve"> The application is available in multiple languages.</w:t>
      </w:r>
    </w:p>
    <w:p w14:paraId="7EE163B0" w14:textId="19B9E812" w:rsidR="00381BF5" w:rsidRPr="003946A8" w:rsidRDefault="00381BF5" w:rsidP="009435F5">
      <w:pPr>
        <w:ind w:firstLine="720"/>
        <w:rPr>
          <w:sz w:val="20"/>
          <w:szCs w:val="20"/>
        </w:rPr>
      </w:pPr>
      <w:r w:rsidRPr="003946A8">
        <w:rPr>
          <w:sz w:val="20"/>
          <w:szCs w:val="20"/>
        </w:rPr>
        <w:t xml:space="preserve">The applications submitted on-line for housing assistance will be accepted through a lottery process.  </w:t>
      </w:r>
      <w:r w:rsidR="003533F8">
        <w:rPr>
          <w:b/>
          <w:bCs/>
          <w:sz w:val="20"/>
          <w:szCs w:val="20"/>
        </w:rPr>
        <w:t>60</w:t>
      </w:r>
      <w:r w:rsidRPr="003946A8">
        <w:rPr>
          <w:b/>
          <w:bCs/>
          <w:sz w:val="20"/>
          <w:szCs w:val="20"/>
        </w:rPr>
        <w:t xml:space="preserve"> </w:t>
      </w:r>
      <w:r w:rsidRPr="003946A8">
        <w:rPr>
          <w:sz w:val="20"/>
          <w:szCs w:val="20"/>
        </w:rPr>
        <w:t xml:space="preserve">applications </w:t>
      </w:r>
      <w:r w:rsidR="00825D44" w:rsidRPr="003946A8">
        <w:rPr>
          <w:sz w:val="20"/>
          <w:szCs w:val="20"/>
        </w:rPr>
        <w:t>accepted through the lottery process will be placed on the waiting list.  You must be 18 years of age or older to apply, or an emancipated minor.  Only one application per household will be accepted.</w:t>
      </w:r>
    </w:p>
    <w:p w14:paraId="616DFF17" w14:textId="2445B9E8" w:rsidR="00825D44" w:rsidRPr="003946A8" w:rsidRDefault="00825D44" w:rsidP="009435F5">
      <w:pPr>
        <w:ind w:firstLine="720"/>
        <w:rPr>
          <w:sz w:val="20"/>
          <w:szCs w:val="20"/>
        </w:rPr>
      </w:pPr>
      <w:r w:rsidRPr="003946A8">
        <w:rPr>
          <w:sz w:val="20"/>
          <w:szCs w:val="20"/>
        </w:rPr>
        <w:t xml:space="preserve">Waiting list placement will be based on a </w:t>
      </w:r>
      <w:r w:rsidR="00305576" w:rsidRPr="003946A8">
        <w:rPr>
          <w:sz w:val="20"/>
          <w:szCs w:val="20"/>
        </w:rPr>
        <w:t>computerized</w:t>
      </w:r>
      <w:r w:rsidRPr="003946A8">
        <w:rPr>
          <w:sz w:val="20"/>
          <w:szCs w:val="20"/>
        </w:rPr>
        <w:t xml:space="preserve"> selection process (</w:t>
      </w:r>
      <w:r w:rsidR="00305576" w:rsidRPr="003946A8">
        <w:rPr>
          <w:sz w:val="20"/>
          <w:szCs w:val="20"/>
        </w:rPr>
        <w:t>lottery).  Once the waiting list open enrollment period ends, applications will be selected to be placed o</w:t>
      </w:r>
      <w:r w:rsidR="002A33C4" w:rsidRPr="003946A8">
        <w:rPr>
          <w:sz w:val="20"/>
          <w:szCs w:val="20"/>
        </w:rPr>
        <w:t>n</w:t>
      </w:r>
      <w:r w:rsidR="00305576" w:rsidRPr="003946A8">
        <w:rPr>
          <w:sz w:val="20"/>
          <w:szCs w:val="20"/>
        </w:rPr>
        <w:t xml:space="preserve"> the waiting list after sorting preferences. </w:t>
      </w:r>
    </w:p>
    <w:p w14:paraId="1AADBEB0" w14:textId="6081D71F" w:rsidR="00E0220D" w:rsidRPr="00563264" w:rsidRDefault="00825D44" w:rsidP="009435F5">
      <w:pPr>
        <w:ind w:firstLine="720"/>
        <w:rPr>
          <w:b/>
          <w:bCs/>
          <w:sz w:val="20"/>
          <w:szCs w:val="20"/>
        </w:rPr>
      </w:pPr>
      <w:r w:rsidRPr="00563264">
        <w:rPr>
          <w:b/>
          <w:bCs/>
          <w:sz w:val="20"/>
          <w:szCs w:val="20"/>
        </w:rPr>
        <w:t xml:space="preserve">Your total household income cannot exceed the </w:t>
      </w:r>
      <w:r w:rsidR="00563264" w:rsidRPr="00563264">
        <w:rPr>
          <w:b/>
          <w:bCs/>
          <w:sz w:val="20"/>
          <w:szCs w:val="20"/>
        </w:rPr>
        <w:t xml:space="preserve">following HUD-established </w:t>
      </w:r>
      <w:r w:rsidRPr="00563264">
        <w:rPr>
          <w:b/>
          <w:bCs/>
          <w:sz w:val="20"/>
          <w:szCs w:val="20"/>
        </w:rPr>
        <w:t xml:space="preserve">limits for </w:t>
      </w:r>
      <w:r w:rsidR="00AE6967">
        <w:rPr>
          <w:b/>
          <w:bCs/>
          <w:sz w:val="20"/>
          <w:szCs w:val="20"/>
        </w:rPr>
        <w:t>Salem</w:t>
      </w:r>
      <w:r w:rsidRPr="00563264">
        <w:rPr>
          <w:b/>
          <w:bCs/>
          <w:sz w:val="20"/>
          <w:szCs w:val="20"/>
        </w:rPr>
        <w:t xml:space="preserve"> County</w:t>
      </w:r>
      <w:r w:rsidR="00563264" w:rsidRPr="00563264">
        <w:rPr>
          <w:b/>
          <w:bCs/>
          <w:sz w:val="20"/>
          <w:szCs w:val="20"/>
        </w:rPr>
        <w:t>:</w:t>
      </w:r>
    </w:p>
    <w:tbl>
      <w:tblPr>
        <w:tblStyle w:val="TableGrid"/>
        <w:tblW w:w="0" w:type="auto"/>
        <w:tblLook w:val="04A0" w:firstRow="1" w:lastRow="0" w:firstColumn="1" w:lastColumn="0" w:noHBand="0" w:noVBand="1"/>
      </w:tblPr>
      <w:tblGrid>
        <w:gridCol w:w="1795"/>
        <w:gridCol w:w="236"/>
        <w:gridCol w:w="1375"/>
        <w:gridCol w:w="827"/>
        <w:gridCol w:w="827"/>
        <w:gridCol w:w="827"/>
        <w:gridCol w:w="827"/>
        <w:gridCol w:w="827"/>
        <w:gridCol w:w="827"/>
        <w:gridCol w:w="827"/>
        <w:gridCol w:w="875"/>
      </w:tblGrid>
      <w:tr w:rsidR="00A5372C" w:rsidRPr="003946A8" w14:paraId="02261AC3" w14:textId="77777777" w:rsidTr="00725A63">
        <w:tc>
          <w:tcPr>
            <w:tcW w:w="3406" w:type="dxa"/>
            <w:gridSpan w:val="3"/>
          </w:tcPr>
          <w:p w14:paraId="5F4468DA" w14:textId="77777777" w:rsidR="00A5372C" w:rsidRPr="003946A8" w:rsidRDefault="00A5372C" w:rsidP="00381BF5">
            <w:pPr>
              <w:rPr>
                <w:sz w:val="20"/>
                <w:szCs w:val="20"/>
                <w:highlight w:val="black"/>
              </w:rPr>
            </w:pPr>
          </w:p>
        </w:tc>
        <w:tc>
          <w:tcPr>
            <w:tcW w:w="6664" w:type="dxa"/>
            <w:gridSpan w:val="8"/>
          </w:tcPr>
          <w:p w14:paraId="1324B450" w14:textId="36339CA9" w:rsidR="00A5372C" w:rsidRPr="003946A8" w:rsidRDefault="00A5372C" w:rsidP="00A82E45">
            <w:pPr>
              <w:jc w:val="center"/>
              <w:rPr>
                <w:b/>
                <w:bCs/>
                <w:sz w:val="20"/>
                <w:szCs w:val="20"/>
              </w:rPr>
            </w:pPr>
            <w:r w:rsidRPr="003946A8">
              <w:rPr>
                <w:b/>
                <w:bCs/>
                <w:sz w:val="20"/>
                <w:szCs w:val="20"/>
              </w:rPr>
              <w:t>Persons in Family</w:t>
            </w:r>
          </w:p>
        </w:tc>
      </w:tr>
      <w:tr w:rsidR="00BA2EA9" w:rsidRPr="003946A8" w14:paraId="2348B789" w14:textId="77777777" w:rsidTr="00725A63">
        <w:tc>
          <w:tcPr>
            <w:tcW w:w="1795" w:type="dxa"/>
          </w:tcPr>
          <w:p w14:paraId="50F92E55" w14:textId="77777777" w:rsidR="00E0220D" w:rsidRPr="003946A8" w:rsidRDefault="00E0220D" w:rsidP="00381BF5">
            <w:pPr>
              <w:rPr>
                <w:sz w:val="20"/>
                <w:szCs w:val="20"/>
              </w:rPr>
            </w:pPr>
            <w:r w:rsidRPr="003946A8">
              <w:rPr>
                <w:sz w:val="20"/>
                <w:szCs w:val="20"/>
              </w:rPr>
              <w:t>FY 2020</w:t>
            </w:r>
          </w:p>
          <w:p w14:paraId="1BAFCBC7" w14:textId="42F76947" w:rsidR="00E0220D" w:rsidRPr="003946A8" w:rsidRDefault="00E0220D" w:rsidP="00381BF5">
            <w:pPr>
              <w:rPr>
                <w:sz w:val="20"/>
                <w:szCs w:val="20"/>
              </w:rPr>
            </w:pPr>
            <w:r w:rsidRPr="003946A8">
              <w:rPr>
                <w:sz w:val="20"/>
                <w:szCs w:val="20"/>
              </w:rPr>
              <w:t>Income Limit Area</w:t>
            </w:r>
          </w:p>
        </w:tc>
        <w:tc>
          <w:tcPr>
            <w:tcW w:w="236" w:type="dxa"/>
          </w:tcPr>
          <w:p w14:paraId="06EACBE3" w14:textId="2338FBCF" w:rsidR="00E0220D" w:rsidRPr="003946A8" w:rsidRDefault="00E0220D" w:rsidP="00381BF5">
            <w:pPr>
              <w:rPr>
                <w:sz w:val="20"/>
                <w:szCs w:val="20"/>
              </w:rPr>
            </w:pPr>
          </w:p>
        </w:tc>
        <w:tc>
          <w:tcPr>
            <w:tcW w:w="1375" w:type="dxa"/>
          </w:tcPr>
          <w:p w14:paraId="789C6A33" w14:textId="04D66721" w:rsidR="00E0220D" w:rsidRPr="003946A8" w:rsidRDefault="0017730D" w:rsidP="00381BF5">
            <w:pPr>
              <w:rPr>
                <w:sz w:val="20"/>
                <w:szCs w:val="20"/>
              </w:rPr>
            </w:pPr>
            <w:r w:rsidRPr="003946A8">
              <w:rPr>
                <w:sz w:val="20"/>
                <w:szCs w:val="20"/>
              </w:rPr>
              <w:t>FY 2020 Income Limit Category</w:t>
            </w:r>
          </w:p>
        </w:tc>
        <w:tc>
          <w:tcPr>
            <w:tcW w:w="827" w:type="dxa"/>
          </w:tcPr>
          <w:p w14:paraId="5AD12B12" w14:textId="77777777" w:rsidR="00E0220D" w:rsidRPr="003946A8" w:rsidRDefault="00E0220D" w:rsidP="00A82E45">
            <w:pPr>
              <w:jc w:val="center"/>
              <w:rPr>
                <w:b/>
                <w:bCs/>
                <w:sz w:val="20"/>
                <w:szCs w:val="20"/>
              </w:rPr>
            </w:pPr>
          </w:p>
          <w:p w14:paraId="10A80136" w14:textId="77777777" w:rsidR="00BA2EA9" w:rsidRPr="003946A8" w:rsidRDefault="00BA2EA9" w:rsidP="00A82E45">
            <w:pPr>
              <w:jc w:val="center"/>
              <w:rPr>
                <w:b/>
                <w:bCs/>
                <w:sz w:val="20"/>
                <w:szCs w:val="20"/>
              </w:rPr>
            </w:pPr>
          </w:p>
          <w:p w14:paraId="23A32336" w14:textId="18433A27" w:rsidR="00BA2EA9" w:rsidRPr="003946A8" w:rsidRDefault="00BA2EA9" w:rsidP="00A82E45">
            <w:pPr>
              <w:jc w:val="center"/>
              <w:rPr>
                <w:b/>
                <w:bCs/>
                <w:sz w:val="20"/>
                <w:szCs w:val="20"/>
              </w:rPr>
            </w:pPr>
            <w:r w:rsidRPr="003946A8">
              <w:rPr>
                <w:b/>
                <w:bCs/>
                <w:sz w:val="20"/>
                <w:szCs w:val="20"/>
              </w:rPr>
              <w:t>1</w:t>
            </w:r>
          </w:p>
        </w:tc>
        <w:tc>
          <w:tcPr>
            <w:tcW w:w="827" w:type="dxa"/>
          </w:tcPr>
          <w:p w14:paraId="295A6F5E" w14:textId="77777777" w:rsidR="00E0220D" w:rsidRPr="003946A8" w:rsidRDefault="00E0220D" w:rsidP="00A82E45">
            <w:pPr>
              <w:jc w:val="center"/>
              <w:rPr>
                <w:b/>
                <w:bCs/>
                <w:sz w:val="20"/>
                <w:szCs w:val="20"/>
              </w:rPr>
            </w:pPr>
          </w:p>
          <w:p w14:paraId="00B47239" w14:textId="77777777" w:rsidR="00BA2EA9" w:rsidRPr="003946A8" w:rsidRDefault="00BA2EA9" w:rsidP="00A82E45">
            <w:pPr>
              <w:jc w:val="center"/>
              <w:rPr>
                <w:b/>
                <w:bCs/>
                <w:sz w:val="20"/>
                <w:szCs w:val="20"/>
              </w:rPr>
            </w:pPr>
          </w:p>
          <w:p w14:paraId="448A8BAF" w14:textId="258EAFAD" w:rsidR="00BA2EA9" w:rsidRPr="003946A8" w:rsidRDefault="00BA2EA9" w:rsidP="00A82E45">
            <w:pPr>
              <w:jc w:val="center"/>
              <w:rPr>
                <w:b/>
                <w:bCs/>
                <w:sz w:val="20"/>
                <w:szCs w:val="20"/>
              </w:rPr>
            </w:pPr>
            <w:r w:rsidRPr="003946A8">
              <w:rPr>
                <w:b/>
                <w:bCs/>
                <w:sz w:val="20"/>
                <w:szCs w:val="20"/>
              </w:rPr>
              <w:t>2</w:t>
            </w:r>
          </w:p>
        </w:tc>
        <w:tc>
          <w:tcPr>
            <w:tcW w:w="827" w:type="dxa"/>
          </w:tcPr>
          <w:p w14:paraId="1E93B559" w14:textId="77777777" w:rsidR="00E0220D" w:rsidRPr="003946A8" w:rsidRDefault="00E0220D" w:rsidP="00A82E45">
            <w:pPr>
              <w:jc w:val="center"/>
              <w:rPr>
                <w:b/>
                <w:bCs/>
                <w:sz w:val="20"/>
                <w:szCs w:val="20"/>
              </w:rPr>
            </w:pPr>
          </w:p>
          <w:p w14:paraId="586F47A2" w14:textId="77777777" w:rsidR="00BA2EA9" w:rsidRPr="003946A8" w:rsidRDefault="00BA2EA9" w:rsidP="00A82E45">
            <w:pPr>
              <w:jc w:val="center"/>
              <w:rPr>
                <w:b/>
                <w:bCs/>
                <w:sz w:val="20"/>
                <w:szCs w:val="20"/>
              </w:rPr>
            </w:pPr>
          </w:p>
          <w:p w14:paraId="6AE774FD" w14:textId="66514FCD" w:rsidR="00BA2EA9" w:rsidRPr="003946A8" w:rsidRDefault="00BA2EA9" w:rsidP="00A82E45">
            <w:pPr>
              <w:jc w:val="center"/>
              <w:rPr>
                <w:b/>
                <w:bCs/>
                <w:sz w:val="20"/>
                <w:szCs w:val="20"/>
              </w:rPr>
            </w:pPr>
            <w:r w:rsidRPr="003946A8">
              <w:rPr>
                <w:b/>
                <w:bCs/>
                <w:sz w:val="20"/>
                <w:szCs w:val="20"/>
              </w:rPr>
              <w:t>3</w:t>
            </w:r>
          </w:p>
          <w:p w14:paraId="121D93D7" w14:textId="23A0CD0F" w:rsidR="00BA2EA9" w:rsidRPr="003946A8" w:rsidRDefault="00BA2EA9" w:rsidP="00A82E45">
            <w:pPr>
              <w:jc w:val="center"/>
              <w:rPr>
                <w:b/>
                <w:bCs/>
                <w:sz w:val="20"/>
                <w:szCs w:val="20"/>
              </w:rPr>
            </w:pPr>
          </w:p>
        </w:tc>
        <w:tc>
          <w:tcPr>
            <w:tcW w:w="827" w:type="dxa"/>
          </w:tcPr>
          <w:p w14:paraId="0C94DB4D" w14:textId="77777777" w:rsidR="00E0220D" w:rsidRPr="003946A8" w:rsidRDefault="00E0220D" w:rsidP="00A82E45">
            <w:pPr>
              <w:jc w:val="center"/>
              <w:rPr>
                <w:b/>
                <w:bCs/>
                <w:sz w:val="20"/>
                <w:szCs w:val="20"/>
              </w:rPr>
            </w:pPr>
          </w:p>
          <w:p w14:paraId="37892973" w14:textId="77777777" w:rsidR="00BA2EA9" w:rsidRPr="003946A8" w:rsidRDefault="00BA2EA9" w:rsidP="00A82E45">
            <w:pPr>
              <w:jc w:val="center"/>
              <w:rPr>
                <w:b/>
                <w:bCs/>
                <w:sz w:val="20"/>
                <w:szCs w:val="20"/>
              </w:rPr>
            </w:pPr>
          </w:p>
          <w:p w14:paraId="13BD5BBA" w14:textId="2B74943F" w:rsidR="00BA2EA9" w:rsidRPr="003946A8" w:rsidRDefault="00BA2EA9" w:rsidP="00A82E45">
            <w:pPr>
              <w:jc w:val="center"/>
              <w:rPr>
                <w:b/>
                <w:bCs/>
                <w:sz w:val="20"/>
                <w:szCs w:val="20"/>
              </w:rPr>
            </w:pPr>
            <w:r w:rsidRPr="003946A8">
              <w:rPr>
                <w:b/>
                <w:bCs/>
                <w:sz w:val="20"/>
                <w:szCs w:val="20"/>
              </w:rPr>
              <w:t>4</w:t>
            </w:r>
          </w:p>
        </w:tc>
        <w:tc>
          <w:tcPr>
            <w:tcW w:w="827" w:type="dxa"/>
          </w:tcPr>
          <w:p w14:paraId="5BB69680" w14:textId="77777777" w:rsidR="00E0220D" w:rsidRPr="003946A8" w:rsidRDefault="00E0220D" w:rsidP="00A82E45">
            <w:pPr>
              <w:jc w:val="center"/>
              <w:rPr>
                <w:b/>
                <w:bCs/>
                <w:sz w:val="20"/>
                <w:szCs w:val="20"/>
              </w:rPr>
            </w:pPr>
          </w:p>
          <w:p w14:paraId="73D7DD4E" w14:textId="77777777" w:rsidR="00BA2EA9" w:rsidRPr="003946A8" w:rsidRDefault="00BA2EA9" w:rsidP="00A82E45">
            <w:pPr>
              <w:jc w:val="center"/>
              <w:rPr>
                <w:b/>
                <w:bCs/>
                <w:sz w:val="20"/>
                <w:szCs w:val="20"/>
              </w:rPr>
            </w:pPr>
          </w:p>
          <w:p w14:paraId="6274A005" w14:textId="3B51E502" w:rsidR="00BA2EA9" w:rsidRPr="003946A8" w:rsidRDefault="00BA2EA9" w:rsidP="00A82E45">
            <w:pPr>
              <w:jc w:val="center"/>
              <w:rPr>
                <w:b/>
                <w:bCs/>
                <w:sz w:val="20"/>
                <w:szCs w:val="20"/>
              </w:rPr>
            </w:pPr>
            <w:r w:rsidRPr="003946A8">
              <w:rPr>
                <w:b/>
                <w:bCs/>
                <w:sz w:val="20"/>
                <w:szCs w:val="20"/>
              </w:rPr>
              <w:t>5</w:t>
            </w:r>
          </w:p>
        </w:tc>
        <w:tc>
          <w:tcPr>
            <w:tcW w:w="827" w:type="dxa"/>
          </w:tcPr>
          <w:p w14:paraId="4707E60E" w14:textId="77777777" w:rsidR="00E0220D" w:rsidRPr="003946A8" w:rsidRDefault="00E0220D" w:rsidP="00A82E45">
            <w:pPr>
              <w:jc w:val="center"/>
              <w:rPr>
                <w:b/>
                <w:bCs/>
                <w:sz w:val="20"/>
                <w:szCs w:val="20"/>
              </w:rPr>
            </w:pPr>
          </w:p>
          <w:p w14:paraId="5B0D5B75" w14:textId="77777777" w:rsidR="00BA2EA9" w:rsidRPr="003946A8" w:rsidRDefault="00BA2EA9" w:rsidP="00A82E45">
            <w:pPr>
              <w:jc w:val="center"/>
              <w:rPr>
                <w:b/>
                <w:bCs/>
                <w:sz w:val="20"/>
                <w:szCs w:val="20"/>
              </w:rPr>
            </w:pPr>
          </w:p>
          <w:p w14:paraId="2F2BDB86" w14:textId="2A7A8CC5" w:rsidR="00BA2EA9" w:rsidRPr="003946A8" w:rsidRDefault="00BA2EA9" w:rsidP="00A82E45">
            <w:pPr>
              <w:jc w:val="center"/>
              <w:rPr>
                <w:b/>
                <w:bCs/>
                <w:sz w:val="20"/>
                <w:szCs w:val="20"/>
              </w:rPr>
            </w:pPr>
            <w:r w:rsidRPr="003946A8">
              <w:rPr>
                <w:b/>
                <w:bCs/>
                <w:sz w:val="20"/>
                <w:szCs w:val="20"/>
              </w:rPr>
              <w:t>6</w:t>
            </w:r>
          </w:p>
        </w:tc>
        <w:tc>
          <w:tcPr>
            <w:tcW w:w="827" w:type="dxa"/>
          </w:tcPr>
          <w:p w14:paraId="06F8E6F4" w14:textId="77777777" w:rsidR="00E0220D" w:rsidRPr="003946A8" w:rsidRDefault="00E0220D" w:rsidP="00A82E45">
            <w:pPr>
              <w:jc w:val="center"/>
              <w:rPr>
                <w:b/>
                <w:bCs/>
                <w:sz w:val="20"/>
                <w:szCs w:val="20"/>
              </w:rPr>
            </w:pPr>
          </w:p>
          <w:p w14:paraId="22D92899" w14:textId="77777777" w:rsidR="00BA2EA9" w:rsidRPr="003946A8" w:rsidRDefault="00BA2EA9" w:rsidP="00A82E45">
            <w:pPr>
              <w:jc w:val="center"/>
              <w:rPr>
                <w:b/>
                <w:bCs/>
                <w:sz w:val="20"/>
                <w:szCs w:val="20"/>
              </w:rPr>
            </w:pPr>
          </w:p>
          <w:p w14:paraId="40917940" w14:textId="4A80AC89" w:rsidR="00BA2EA9" w:rsidRPr="003946A8" w:rsidRDefault="00BA2EA9" w:rsidP="00A82E45">
            <w:pPr>
              <w:jc w:val="center"/>
              <w:rPr>
                <w:b/>
                <w:bCs/>
                <w:sz w:val="20"/>
                <w:szCs w:val="20"/>
              </w:rPr>
            </w:pPr>
            <w:r w:rsidRPr="003946A8">
              <w:rPr>
                <w:b/>
                <w:bCs/>
                <w:sz w:val="20"/>
                <w:szCs w:val="20"/>
              </w:rPr>
              <w:t>7</w:t>
            </w:r>
          </w:p>
        </w:tc>
        <w:tc>
          <w:tcPr>
            <w:tcW w:w="875" w:type="dxa"/>
          </w:tcPr>
          <w:p w14:paraId="3D17D68F" w14:textId="77777777" w:rsidR="00E0220D" w:rsidRPr="003946A8" w:rsidRDefault="00E0220D" w:rsidP="00A82E45">
            <w:pPr>
              <w:jc w:val="center"/>
              <w:rPr>
                <w:b/>
                <w:bCs/>
                <w:sz w:val="20"/>
                <w:szCs w:val="20"/>
              </w:rPr>
            </w:pPr>
          </w:p>
          <w:p w14:paraId="47F20726" w14:textId="77777777" w:rsidR="00BA2EA9" w:rsidRPr="003946A8" w:rsidRDefault="00BA2EA9" w:rsidP="00A82E45">
            <w:pPr>
              <w:jc w:val="center"/>
              <w:rPr>
                <w:b/>
                <w:bCs/>
                <w:sz w:val="20"/>
                <w:szCs w:val="20"/>
              </w:rPr>
            </w:pPr>
          </w:p>
          <w:p w14:paraId="27E5505D" w14:textId="2B091FB6" w:rsidR="00BA2EA9" w:rsidRPr="003946A8" w:rsidRDefault="00BA2EA9" w:rsidP="00A82E45">
            <w:pPr>
              <w:jc w:val="center"/>
              <w:rPr>
                <w:b/>
                <w:bCs/>
                <w:sz w:val="20"/>
                <w:szCs w:val="20"/>
              </w:rPr>
            </w:pPr>
            <w:r w:rsidRPr="003946A8">
              <w:rPr>
                <w:b/>
                <w:bCs/>
                <w:sz w:val="20"/>
                <w:szCs w:val="20"/>
              </w:rPr>
              <w:t>8</w:t>
            </w:r>
          </w:p>
        </w:tc>
      </w:tr>
      <w:tr w:rsidR="00BA2EA9" w:rsidRPr="003946A8" w14:paraId="3F682307" w14:textId="77777777" w:rsidTr="00725A63">
        <w:tc>
          <w:tcPr>
            <w:tcW w:w="1795" w:type="dxa"/>
            <w:vMerge w:val="restart"/>
          </w:tcPr>
          <w:p w14:paraId="46E66CB8" w14:textId="6DBAD1B3" w:rsidR="00E0220D" w:rsidRPr="003533F8" w:rsidRDefault="003533F8" w:rsidP="00381BF5">
            <w:pPr>
              <w:rPr>
                <w:rFonts w:cstheme="minorHAnsi"/>
                <w:b/>
                <w:bCs/>
              </w:rPr>
            </w:pPr>
            <w:r w:rsidRPr="003533F8">
              <w:rPr>
                <w:rStyle w:val="Strong"/>
                <w:rFonts w:cstheme="minorHAnsi"/>
                <w:b w:val="0"/>
                <w:bCs w:val="0"/>
                <w:color w:val="000000"/>
                <w:bdr w:val="none" w:sz="0" w:space="0" w:color="auto" w:frame="1"/>
              </w:rPr>
              <w:t>Philadelphia-Camden-Wilmington, PA-NJ-DE-MD MSA</w:t>
            </w:r>
          </w:p>
        </w:tc>
        <w:tc>
          <w:tcPr>
            <w:tcW w:w="236" w:type="dxa"/>
            <w:vMerge w:val="restart"/>
          </w:tcPr>
          <w:p w14:paraId="44FC84D6" w14:textId="77777777" w:rsidR="00E0220D" w:rsidRPr="003946A8" w:rsidRDefault="00E0220D" w:rsidP="00381BF5">
            <w:pPr>
              <w:rPr>
                <w:sz w:val="20"/>
                <w:szCs w:val="20"/>
              </w:rPr>
            </w:pPr>
          </w:p>
          <w:p w14:paraId="37B5BBA4" w14:textId="48172883" w:rsidR="00E0220D" w:rsidRPr="003946A8" w:rsidRDefault="00E0220D" w:rsidP="00381BF5">
            <w:pPr>
              <w:rPr>
                <w:sz w:val="20"/>
                <w:szCs w:val="20"/>
              </w:rPr>
            </w:pPr>
          </w:p>
        </w:tc>
        <w:tc>
          <w:tcPr>
            <w:tcW w:w="1375" w:type="dxa"/>
          </w:tcPr>
          <w:p w14:paraId="51EC573F" w14:textId="22DE0F70" w:rsidR="00E0220D" w:rsidRPr="003946A8" w:rsidRDefault="0017730D" w:rsidP="00381BF5">
            <w:pPr>
              <w:rPr>
                <w:sz w:val="20"/>
                <w:szCs w:val="20"/>
              </w:rPr>
            </w:pPr>
            <w:r w:rsidRPr="003946A8">
              <w:rPr>
                <w:sz w:val="20"/>
                <w:szCs w:val="20"/>
              </w:rPr>
              <w:t>Very Low</w:t>
            </w:r>
            <w:r w:rsidR="00DB02B1" w:rsidRPr="003946A8">
              <w:rPr>
                <w:sz w:val="20"/>
                <w:szCs w:val="20"/>
              </w:rPr>
              <w:t xml:space="preserve"> </w:t>
            </w:r>
            <w:r w:rsidR="00BA2EA9" w:rsidRPr="003946A8">
              <w:rPr>
                <w:sz w:val="20"/>
                <w:szCs w:val="20"/>
              </w:rPr>
              <w:t>Income</w:t>
            </w:r>
          </w:p>
        </w:tc>
        <w:tc>
          <w:tcPr>
            <w:tcW w:w="827" w:type="dxa"/>
          </w:tcPr>
          <w:p w14:paraId="72DBEF77" w14:textId="6B8FDC50" w:rsidR="00E0220D" w:rsidRPr="003946A8" w:rsidRDefault="0026694E" w:rsidP="00381BF5">
            <w:pPr>
              <w:rPr>
                <w:sz w:val="20"/>
                <w:szCs w:val="20"/>
              </w:rPr>
            </w:pPr>
            <w:r>
              <w:rPr>
                <w:sz w:val="20"/>
                <w:szCs w:val="20"/>
              </w:rPr>
              <w:t>33,850</w:t>
            </w:r>
          </w:p>
        </w:tc>
        <w:tc>
          <w:tcPr>
            <w:tcW w:w="827" w:type="dxa"/>
          </w:tcPr>
          <w:p w14:paraId="7A7E916D" w14:textId="1D85ACCC" w:rsidR="00E0220D" w:rsidRPr="003946A8" w:rsidRDefault="0026694E" w:rsidP="00381BF5">
            <w:pPr>
              <w:rPr>
                <w:sz w:val="20"/>
                <w:szCs w:val="20"/>
              </w:rPr>
            </w:pPr>
            <w:r>
              <w:rPr>
                <w:sz w:val="20"/>
                <w:szCs w:val="20"/>
              </w:rPr>
              <w:t>38,650</w:t>
            </w:r>
          </w:p>
        </w:tc>
        <w:tc>
          <w:tcPr>
            <w:tcW w:w="827" w:type="dxa"/>
          </w:tcPr>
          <w:p w14:paraId="649E03B2" w14:textId="449B10C4" w:rsidR="00E0220D" w:rsidRPr="003946A8" w:rsidRDefault="0026694E" w:rsidP="00381BF5">
            <w:pPr>
              <w:rPr>
                <w:sz w:val="20"/>
                <w:szCs w:val="20"/>
              </w:rPr>
            </w:pPr>
            <w:r>
              <w:rPr>
                <w:sz w:val="20"/>
                <w:szCs w:val="20"/>
              </w:rPr>
              <w:t>43,500</w:t>
            </w:r>
          </w:p>
        </w:tc>
        <w:tc>
          <w:tcPr>
            <w:tcW w:w="827" w:type="dxa"/>
          </w:tcPr>
          <w:p w14:paraId="1D00C2AC" w14:textId="2550A146" w:rsidR="00E0220D" w:rsidRPr="003946A8" w:rsidRDefault="0026694E" w:rsidP="00381BF5">
            <w:pPr>
              <w:rPr>
                <w:sz w:val="20"/>
                <w:szCs w:val="20"/>
              </w:rPr>
            </w:pPr>
            <w:r>
              <w:rPr>
                <w:sz w:val="20"/>
                <w:szCs w:val="20"/>
              </w:rPr>
              <w:t>48,300</w:t>
            </w:r>
          </w:p>
        </w:tc>
        <w:tc>
          <w:tcPr>
            <w:tcW w:w="827" w:type="dxa"/>
          </w:tcPr>
          <w:p w14:paraId="4138EF64" w14:textId="621FB1A4" w:rsidR="00E0220D" w:rsidRPr="003946A8" w:rsidRDefault="0041526A" w:rsidP="00381BF5">
            <w:pPr>
              <w:rPr>
                <w:sz w:val="20"/>
                <w:szCs w:val="20"/>
              </w:rPr>
            </w:pPr>
            <w:r>
              <w:rPr>
                <w:sz w:val="20"/>
                <w:szCs w:val="20"/>
              </w:rPr>
              <w:t>52,200</w:t>
            </w:r>
          </w:p>
        </w:tc>
        <w:tc>
          <w:tcPr>
            <w:tcW w:w="827" w:type="dxa"/>
          </w:tcPr>
          <w:p w14:paraId="40449DEE" w14:textId="3975842A" w:rsidR="00E0220D" w:rsidRPr="003946A8" w:rsidRDefault="0041526A" w:rsidP="00381BF5">
            <w:pPr>
              <w:rPr>
                <w:sz w:val="20"/>
                <w:szCs w:val="20"/>
              </w:rPr>
            </w:pPr>
            <w:r>
              <w:rPr>
                <w:sz w:val="20"/>
                <w:szCs w:val="20"/>
              </w:rPr>
              <w:t>56,050</w:t>
            </w:r>
          </w:p>
        </w:tc>
        <w:tc>
          <w:tcPr>
            <w:tcW w:w="827" w:type="dxa"/>
          </w:tcPr>
          <w:p w14:paraId="236B7BB2" w14:textId="166C56DB" w:rsidR="00E0220D" w:rsidRPr="003946A8" w:rsidRDefault="0041526A" w:rsidP="00381BF5">
            <w:pPr>
              <w:rPr>
                <w:sz w:val="20"/>
                <w:szCs w:val="20"/>
              </w:rPr>
            </w:pPr>
            <w:r>
              <w:rPr>
                <w:sz w:val="20"/>
                <w:szCs w:val="20"/>
              </w:rPr>
              <w:t>59,900</w:t>
            </w:r>
          </w:p>
        </w:tc>
        <w:tc>
          <w:tcPr>
            <w:tcW w:w="875" w:type="dxa"/>
          </w:tcPr>
          <w:p w14:paraId="6D751309" w14:textId="42CB8713" w:rsidR="00E0220D" w:rsidRPr="003946A8" w:rsidRDefault="0041526A" w:rsidP="00381BF5">
            <w:pPr>
              <w:rPr>
                <w:sz w:val="20"/>
                <w:szCs w:val="20"/>
              </w:rPr>
            </w:pPr>
            <w:r>
              <w:rPr>
                <w:sz w:val="20"/>
                <w:szCs w:val="20"/>
              </w:rPr>
              <w:t>63,800</w:t>
            </w:r>
          </w:p>
        </w:tc>
      </w:tr>
      <w:tr w:rsidR="00BA2EA9" w:rsidRPr="003946A8" w14:paraId="2AB22C2B" w14:textId="77777777" w:rsidTr="00725A63">
        <w:tc>
          <w:tcPr>
            <w:tcW w:w="1795" w:type="dxa"/>
            <w:vMerge/>
          </w:tcPr>
          <w:p w14:paraId="536E6B4D" w14:textId="77777777" w:rsidR="00E0220D" w:rsidRPr="003946A8" w:rsidRDefault="00E0220D" w:rsidP="00381BF5">
            <w:pPr>
              <w:rPr>
                <w:sz w:val="20"/>
                <w:szCs w:val="20"/>
              </w:rPr>
            </w:pPr>
          </w:p>
        </w:tc>
        <w:tc>
          <w:tcPr>
            <w:tcW w:w="236" w:type="dxa"/>
            <w:vMerge/>
          </w:tcPr>
          <w:p w14:paraId="1914869B" w14:textId="10E59AC0" w:rsidR="00E0220D" w:rsidRPr="003946A8" w:rsidRDefault="00E0220D" w:rsidP="00381BF5">
            <w:pPr>
              <w:rPr>
                <w:sz w:val="20"/>
                <w:szCs w:val="20"/>
              </w:rPr>
            </w:pPr>
          </w:p>
        </w:tc>
        <w:tc>
          <w:tcPr>
            <w:tcW w:w="1375" w:type="dxa"/>
          </w:tcPr>
          <w:p w14:paraId="437CB197" w14:textId="377A108D" w:rsidR="00E0220D" w:rsidRPr="003946A8" w:rsidRDefault="00DB02B1" w:rsidP="00381BF5">
            <w:pPr>
              <w:rPr>
                <w:sz w:val="20"/>
                <w:szCs w:val="20"/>
              </w:rPr>
            </w:pPr>
            <w:r w:rsidRPr="003946A8">
              <w:rPr>
                <w:sz w:val="20"/>
                <w:szCs w:val="20"/>
              </w:rPr>
              <w:t>Extremely Low</w:t>
            </w:r>
          </w:p>
        </w:tc>
        <w:tc>
          <w:tcPr>
            <w:tcW w:w="827" w:type="dxa"/>
          </w:tcPr>
          <w:p w14:paraId="21B5BA0F" w14:textId="2A598F9F" w:rsidR="00E0220D" w:rsidRPr="003946A8" w:rsidRDefault="0041526A" w:rsidP="00381BF5">
            <w:pPr>
              <w:rPr>
                <w:sz w:val="20"/>
                <w:szCs w:val="20"/>
              </w:rPr>
            </w:pPr>
            <w:r>
              <w:rPr>
                <w:sz w:val="20"/>
                <w:szCs w:val="20"/>
              </w:rPr>
              <w:t>20,300</w:t>
            </w:r>
          </w:p>
        </w:tc>
        <w:tc>
          <w:tcPr>
            <w:tcW w:w="827" w:type="dxa"/>
          </w:tcPr>
          <w:p w14:paraId="53AFA0DF" w14:textId="6BB4F11E" w:rsidR="00E0220D" w:rsidRPr="003946A8" w:rsidRDefault="0041526A" w:rsidP="00381BF5">
            <w:pPr>
              <w:rPr>
                <w:sz w:val="20"/>
                <w:szCs w:val="20"/>
              </w:rPr>
            </w:pPr>
            <w:r>
              <w:rPr>
                <w:sz w:val="20"/>
                <w:szCs w:val="20"/>
              </w:rPr>
              <w:t>23,200</w:t>
            </w:r>
          </w:p>
        </w:tc>
        <w:tc>
          <w:tcPr>
            <w:tcW w:w="827" w:type="dxa"/>
          </w:tcPr>
          <w:p w14:paraId="13BB7989" w14:textId="2722D3F4" w:rsidR="00E0220D" w:rsidRPr="003946A8" w:rsidRDefault="004131EB" w:rsidP="00381BF5">
            <w:pPr>
              <w:rPr>
                <w:sz w:val="20"/>
                <w:szCs w:val="20"/>
              </w:rPr>
            </w:pPr>
            <w:r>
              <w:rPr>
                <w:sz w:val="20"/>
                <w:szCs w:val="20"/>
              </w:rPr>
              <w:t>26,100</w:t>
            </w:r>
          </w:p>
        </w:tc>
        <w:tc>
          <w:tcPr>
            <w:tcW w:w="827" w:type="dxa"/>
          </w:tcPr>
          <w:p w14:paraId="1A322D2D" w14:textId="5316E2F6" w:rsidR="00E0220D" w:rsidRPr="003946A8" w:rsidRDefault="004131EB" w:rsidP="00381BF5">
            <w:pPr>
              <w:rPr>
                <w:sz w:val="20"/>
                <w:szCs w:val="20"/>
              </w:rPr>
            </w:pPr>
            <w:r>
              <w:rPr>
                <w:sz w:val="20"/>
                <w:szCs w:val="20"/>
              </w:rPr>
              <w:t>29,000</w:t>
            </w:r>
          </w:p>
        </w:tc>
        <w:tc>
          <w:tcPr>
            <w:tcW w:w="827" w:type="dxa"/>
          </w:tcPr>
          <w:p w14:paraId="11FBD7DD" w14:textId="43A2C46A" w:rsidR="00E0220D" w:rsidRPr="003946A8" w:rsidRDefault="004131EB" w:rsidP="00381BF5">
            <w:pPr>
              <w:rPr>
                <w:sz w:val="20"/>
                <w:szCs w:val="20"/>
              </w:rPr>
            </w:pPr>
            <w:r>
              <w:rPr>
                <w:sz w:val="20"/>
                <w:szCs w:val="20"/>
              </w:rPr>
              <w:t>31,350</w:t>
            </w:r>
          </w:p>
        </w:tc>
        <w:tc>
          <w:tcPr>
            <w:tcW w:w="827" w:type="dxa"/>
          </w:tcPr>
          <w:p w14:paraId="0594FBD3" w14:textId="689AC37E" w:rsidR="00E0220D" w:rsidRPr="003946A8" w:rsidRDefault="004131EB" w:rsidP="00381BF5">
            <w:pPr>
              <w:rPr>
                <w:sz w:val="20"/>
                <w:szCs w:val="20"/>
              </w:rPr>
            </w:pPr>
            <w:r>
              <w:rPr>
                <w:sz w:val="20"/>
                <w:szCs w:val="20"/>
              </w:rPr>
              <w:t>35,160</w:t>
            </w:r>
          </w:p>
        </w:tc>
        <w:tc>
          <w:tcPr>
            <w:tcW w:w="827" w:type="dxa"/>
          </w:tcPr>
          <w:p w14:paraId="3F8D8C84" w14:textId="73691A62" w:rsidR="00E0220D" w:rsidRPr="003946A8" w:rsidRDefault="004131EB" w:rsidP="00381BF5">
            <w:pPr>
              <w:rPr>
                <w:sz w:val="20"/>
                <w:szCs w:val="20"/>
              </w:rPr>
            </w:pPr>
            <w:r>
              <w:rPr>
                <w:sz w:val="20"/>
                <w:szCs w:val="20"/>
              </w:rPr>
              <w:t>39,640</w:t>
            </w:r>
          </w:p>
        </w:tc>
        <w:tc>
          <w:tcPr>
            <w:tcW w:w="875" w:type="dxa"/>
          </w:tcPr>
          <w:p w14:paraId="34548D01" w14:textId="74A96761" w:rsidR="00E0220D" w:rsidRPr="003946A8" w:rsidRDefault="004131EB" w:rsidP="00381BF5">
            <w:pPr>
              <w:rPr>
                <w:sz w:val="20"/>
                <w:szCs w:val="20"/>
              </w:rPr>
            </w:pPr>
            <w:r>
              <w:rPr>
                <w:sz w:val="20"/>
                <w:szCs w:val="20"/>
              </w:rPr>
              <w:t>44,120</w:t>
            </w:r>
          </w:p>
        </w:tc>
      </w:tr>
      <w:tr w:rsidR="00BA2EA9" w:rsidRPr="003946A8" w14:paraId="2177EEAA" w14:textId="77777777" w:rsidTr="00725A63">
        <w:tc>
          <w:tcPr>
            <w:tcW w:w="1795" w:type="dxa"/>
            <w:vMerge/>
          </w:tcPr>
          <w:p w14:paraId="6D3CF94D" w14:textId="77777777" w:rsidR="00E0220D" w:rsidRPr="003946A8" w:rsidRDefault="00E0220D" w:rsidP="00381BF5">
            <w:pPr>
              <w:rPr>
                <w:sz w:val="20"/>
                <w:szCs w:val="20"/>
              </w:rPr>
            </w:pPr>
          </w:p>
        </w:tc>
        <w:tc>
          <w:tcPr>
            <w:tcW w:w="236" w:type="dxa"/>
            <w:vMerge/>
          </w:tcPr>
          <w:p w14:paraId="10552812" w14:textId="4E17419D" w:rsidR="00E0220D" w:rsidRPr="003946A8" w:rsidRDefault="00E0220D" w:rsidP="00381BF5">
            <w:pPr>
              <w:rPr>
                <w:sz w:val="20"/>
                <w:szCs w:val="20"/>
              </w:rPr>
            </w:pPr>
          </w:p>
        </w:tc>
        <w:tc>
          <w:tcPr>
            <w:tcW w:w="1375" w:type="dxa"/>
          </w:tcPr>
          <w:p w14:paraId="2DEEE1BA" w14:textId="4295C767" w:rsidR="00E0220D" w:rsidRPr="003946A8" w:rsidRDefault="00DB02B1" w:rsidP="00381BF5">
            <w:pPr>
              <w:rPr>
                <w:sz w:val="20"/>
                <w:szCs w:val="20"/>
              </w:rPr>
            </w:pPr>
            <w:r w:rsidRPr="003946A8">
              <w:rPr>
                <w:sz w:val="20"/>
                <w:szCs w:val="20"/>
              </w:rPr>
              <w:t>Low</w:t>
            </w:r>
          </w:p>
        </w:tc>
        <w:tc>
          <w:tcPr>
            <w:tcW w:w="827" w:type="dxa"/>
          </w:tcPr>
          <w:p w14:paraId="40567656" w14:textId="62D1BFE5" w:rsidR="00E0220D" w:rsidRPr="003946A8" w:rsidRDefault="009A42DA" w:rsidP="00381BF5">
            <w:pPr>
              <w:rPr>
                <w:sz w:val="20"/>
                <w:szCs w:val="20"/>
              </w:rPr>
            </w:pPr>
            <w:r>
              <w:rPr>
                <w:sz w:val="20"/>
                <w:szCs w:val="20"/>
              </w:rPr>
              <w:t>54,150</w:t>
            </w:r>
          </w:p>
        </w:tc>
        <w:tc>
          <w:tcPr>
            <w:tcW w:w="827" w:type="dxa"/>
          </w:tcPr>
          <w:p w14:paraId="50068BF2" w14:textId="4EBEDEC5" w:rsidR="00E0220D" w:rsidRPr="003946A8" w:rsidRDefault="009A42DA" w:rsidP="00381BF5">
            <w:pPr>
              <w:rPr>
                <w:sz w:val="20"/>
                <w:szCs w:val="20"/>
              </w:rPr>
            </w:pPr>
            <w:r>
              <w:rPr>
                <w:sz w:val="20"/>
                <w:szCs w:val="20"/>
              </w:rPr>
              <w:t>61,850</w:t>
            </w:r>
          </w:p>
        </w:tc>
        <w:tc>
          <w:tcPr>
            <w:tcW w:w="827" w:type="dxa"/>
          </w:tcPr>
          <w:p w14:paraId="2633A06D" w14:textId="66DCA4B7" w:rsidR="00E0220D" w:rsidRPr="003946A8" w:rsidRDefault="009A42DA" w:rsidP="00381BF5">
            <w:pPr>
              <w:rPr>
                <w:sz w:val="20"/>
                <w:szCs w:val="20"/>
              </w:rPr>
            </w:pPr>
            <w:r>
              <w:rPr>
                <w:sz w:val="20"/>
                <w:szCs w:val="20"/>
              </w:rPr>
              <w:t>69,600</w:t>
            </w:r>
          </w:p>
        </w:tc>
        <w:tc>
          <w:tcPr>
            <w:tcW w:w="827" w:type="dxa"/>
          </w:tcPr>
          <w:p w14:paraId="259E4373" w14:textId="51D8637E" w:rsidR="00E0220D" w:rsidRPr="003946A8" w:rsidRDefault="009A42DA" w:rsidP="00381BF5">
            <w:pPr>
              <w:rPr>
                <w:sz w:val="20"/>
                <w:szCs w:val="20"/>
              </w:rPr>
            </w:pPr>
            <w:r>
              <w:rPr>
                <w:sz w:val="20"/>
                <w:szCs w:val="20"/>
              </w:rPr>
              <w:t>77,300</w:t>
            </w:r>
          </w:p>
        </w:tc>
        <w:tc>
          <w:tcPr>
            <w:tcW w:w="827" w:type="dxa"/>
          </w:tcPr>
          <w:p w14:paraId="438E620D" w14:textId="2676B0FA" w:rsidR="00E0220D" w:rsidRPr="003946A8" w:rsidRDefault="009A42DA" w:rsidP="00381BF5">
            <w:pPr>
              <w:rPr>
                <w:sz w:val="20"/>
                <w:szCs w:val="20"/>
              </w:rPr>
            </w:pPr>
            <w:r>
              <w:rPr>
                <w:sz w:val="20"/>
                <w:szCs w:val="20"/>
              </w:rPr>
              <w:t>83,500</w:t>
            </w:r>
          </w:p>
        </w:tc>
        <w:tc>
          <w:tcPr>
            <w:tcW w:w="827" w:type="dxa"/>
          </w:tcPr>
          <w:p w14:paraId="48546D4E" w14:textId="3C363B2F" w:rsidR="00E0220D" w:rsidRPr="003946A8" w:rsidRDefault="009A42DA" w:rsidP="00381BF5">
            <w:pPr>
              <w:rPr>
                <w:sz w:val="20"/>
                <w:szCs w:val="20"/>
              </w:rPr>
            </w:pPr>
            <w:r>
              <w:rPr>
                <w:sz w:val="20"/>
                <w:szCs w:val="20"/>
              </w:rPr>
              <w:t>89,700</w:t>
            </w:r>
          </w:p>
        </w:tc>
        <w:tc>
          <w:tcPr>
            <w:tcW w:w="827" w:type="dxa"/>
          </w:tcPr>
          <w:p w14:paraId="69F22858" w14:textId="70026F40" w:rsidR="00E0220D" w:rsidRPr="003946A8" w:rsidRDefault="009A42DA" w:rsidP="00381BF5">
            <w:pPr>
              <w:rPr>
                <w:sz w:val="20"/>
                <w:szCs w:val="20"/>
              </w:rPr>
            </w:pPr>
            <w:r>
              <w:rPr>
                <w:sz w:val="20"/>
                <w:szCs w:val="20"/>
              </w:rPr>
              <w:t>95,900</w:t>
            </w:r>
          </w:p>
        </w:tc>
        <w:tc>
          <w:tcPr>
            <w:tcW w:w="875" w:type="dxa"/>
          </w:tcPr>
          <w:p w14:paraId="0A029E1A" w14:textId="48B17C26" w:rsidR="00E0220D" w:rsidRPr="003946A8" w:rsidRDefault="009A42DA" w:rsidP="00381BF5">
            <w:pPr>
              <w:rPr>
                <w:sz w:val="20"/>
                <w:szCs w:val="20"/>
              </w:rPr>
            </w:pPr>
            <w:r>
              <w:rPr>
                <w:sz w:val="20"/>
                <w:szCs w:val="20"/>
              </w:rPr>
              <w:t>102,050</w:t>
            </w:r>
          </w:p>
        </w:tc>
      </w:tr>
    </w:tbl>
    <w:p w14:paraId="78D515FD" w14:textId="77777777" w:rsidR="003946A8" w:rsidRDefault="00F249B4" w:rsidP="00381BF5">
      <w:pPr>
        <w:rPr>
          <w:sz w:val="20"/>
          <w:szCs w:val="20"/>
        </w:rPr>
      </w:pPr>
      <w:r w:rsidRPr="003946A8">
        <w:rPr>
          <w:sz w:val="20"/>
          <w:szCs w:val="20"/>
        </w:rPr>
        <w:t xml:space="preserve"> </w:t>
      </w:r>
      <w:r w:rsidR="00AF2010" w:rsidRPr="003946A8">
        <w:rPr>
          <w:sz w:val="20"/>
          <w:szCs w:val="20"/>
        </w:rPr>
        <w:tab/>
      </w:r>
    </w:p>
    <w:p w14:paraId="6DDB7CBA" w14:textId="59EC848C" w:rsidR="00825D44" w:rsidRDefault="00825D44" w:rsidP="003946A8">
      <w:pPr>
        <w:ind w:firstLine="720"/>
        <w:rPr>
          <w:sz w:val="20"/>
          <w:szCs w:val="20"/>
        </w:rPr>
      </w:pPr>
      <w:r w:rsidRPr="003946A8">
        <w:rPr>
          <w:sz w:val="20"/>
          <w:szCs w:val="20"/>
        </w:rPr>
        <w:t xml:space="preserve">Applications can be submitted online with the use a personal computer, laptop, smart </w:t>
      </w:r>
      <w:r w:rsidR="003533F8" w:rsidRPr="003946A8">
        <w:rPr>
          <w:sz w:val="20"/>
          <w:szCs w:val="20"/>
        </w:rPr>
        <w:t>phone,</w:t>
      </w:r>
      <w:r w:rsidRPr="003946A8">
        <w:rPr>
          <w:sz w:val="20"/>
          <w:szCs w:val="20"/>
        </w:rPr>
        <w:t xml:space="preserve"> or tablet.  No applications will be accepted in person.  An email address is required for submission of the application.  </w:t>
      </w:r>
    </w:p>
    <w:p w14:paraId="3B31F9C6" w14:textId="26176DF4" w:rsidR="00A07F21" w:rsidRDefault="00A07F21" w:rsidP="00A07F21">
      <w:pPr>
        <w:ind w:firstLine="720"/>
        <w:rPr>
          <w:sz w:val="20"/>
          <w:szCs w:val="20"/>
        </w:rPr>
      </w:pPr>
      <w:r>
        <w:rPr>
          <w:sz w:val="20"/>
          <w:szCs w:val="20"/>
        </w:rPr>
        <w:t xml:space="preserve">Applicants selected for the waiting list can check their waiting list status at </w:t>
      </w:r>
      <w:hyperlink r:id="rId6" w:history="1">
        <w:r w:rsidR="00DD1CB8" w:rsidRPr="00AD468A">
          <w:rPr>
            <w:rStyle w:val="Hyperlink"/>
          </w:rPr>
          <w:t>https://pha-web.com/portal/applicant/salem/status.aspx</w:t>
        </w:r>
      </w:hyperlink>
      <w:r w:rsidR="00DD1CB8">
        <w:t xml:space="preserve"> </w:t>
      </w:r>
      <w:r>
        <w:rPr>
          <w:sz w:val="20"/>
          <w:szCs w:val="20"/>
        </w:rPr>
        <w:t>starting 2/22/21.</w:t>
      </w:r>
    </w:p>
    <w:p w14:paraId="3AC7478C" w14:textId="0C08BCEE" w:rsidR="00825D44" w:rsidRPr="003946A8" w:rsidRDefault="00C5014F" w:rsidP="00AF2010">
      <w:pPr>
        <w:ind w:firstLine="720"/>
        <w:rPr>
          <w:sz w:val="20"/>
          <w:szCs w:val="20"/>
        </w:rPr>
      </w:pPr>
      <w:r>
        <w:rPr>
          <w:sz w:val="20"/>
          <w:szCs w:val="20"/>
        </w:rPr>
        <w:t>S</w:t>
      </w:r>
      <w:r w:rsidR="00825D44" w:rsidRPr="003946A8">
        <w:rPr>
          <w:sz w:val="20"/>
          <w:szCs w:val="20"/>
        </w:rPr>
        <w:t>HA will extend reasonable accommodations to disabled individual</w:t>
      </w:r>
      <w:r w:rsidR="003533F8">
        <w:rPr>
          <w:sz w:val="20"/>
          <w:szCs w:val="20"/>
        </w:rPr>
        <w:t>s</w:t>
      </w:r>
      <w:r w:rsidR="00825D44" w:rsidRPr="003946A8">
        <w:rPr>
          <w:sz w:val="20"/>
          <w:szCs w:val="20"/>
        </w:rPr>
        <w:t xml:space="preserve"> on a </w:t>
      </w:r>
      <w:r w:rsidR="003946A8" w:rsidRPr="003946A8">
        <w:rPr>
          <w:sz w:val="20"/>
          <w:szCs w:val="20"/>
        </w:rPr>
        <w:t>case-by-case</w:t>
      </w:r>
      <w:r w:rsidR="00825D44" w:rsidRPr="003946A8">
        <w:rPr>
          <w:sz w:val="20"/>
          <w:szCs w:val="20"/>
        </w:rPr>
        <w:t xml:space="preserve"> basis and will take into consideration the disability and the need(s) of the individual(s).  An individual may call 856-825-8860 for further assistance.  </w:t>
      </w:r>
    </w:p>
    <w:p w14:paraId="1C57E191" w14:textId="48E4E55A" w:rsidR="00825D44" w:rsidRPr="002A33C4" w:rsidRDefault="00F95A9C" w:rsidP="00F95A9C">
      <w:pPr>
        <w:jc w:val="right"/>
      </w:pPr>
      <w:r>
        <w:rPr>
          <w:noProof/>
        </w:rPr>
        <w:drawing>
          <wp:inline distT="0" distB="0" distL="0" distR="0" wp14:anchorId="103F9061" wp14:editId="16FC903F">
            <wp:extent cx="1419367" cy="1479601"/>
            <wp:effectExtent l="0" t="0" r="9525" b="6350"/>
            <wp:docPr id="5" name="Picture 5" descr="HUD Delays Rule Promoting Fair Housing - Affordable Housing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D Delays Rule Promoting Fair Housing - Affordable Housing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003" cy="1538640"/>
                    </a:xfrm>
                    <a:prstGeom prst="rect">
                      <a:avLst/>
                    </a:prstGeom>
                    <a:noFill/>
                    <a:ln>
                      <a:noFill/>
                    </a:ln>
                  </pic:spPr>
                </pic:pic>
              </a:graphicData>
            </a:graphic>
          </wp:inline>
        </w:drawing>
      </w:r>
    </w:p>
    <w:sectPr w:rsidR="00825D44" w:rsidRPr="002A33C4" w:rsidSect="009435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F5"/>
    <w:rsid w:val="001758CC"/>
    <w:rsid w:val="0017730D"/>
    <w:rsid w:val="00247112"/>
    <w:rsid w:val="00257BE3"/>
    <w:rsid w:val="0026694E"/>
    <w:rsid w:val="002A33C4"/>
    <w:rsid w:val="00305576"/>
    <w:rsid w:val="0031793D"/>
    <w:rsid w:val="003533F8"/>
    <w:rsid w:val="00381BF5"/>
    <w:rsid w:val="003946A8"/>
    <w:rsid w:val="003F25BB"/>
    <w:rsid w:val="004131EB"/>
    <w:rsid w:val="0041526A"/>
    <w:rsid w:val="004D091B"/>
    <w:rsid w:val="004F7720"/>
    <w:rsid w:val="0051065F"/>
    <w:rsid w:val="00563264"/>
    <w:rsid w:val="00583544"/>
    <w:rsid w:val="00687541"/>
    <w:rsid w:val="006E70EF"/>
    <w:rsid w:val="00725A63"/>
    <w:rsid w:val="00787C0F"/>
    <w:rsid w:val="00825D44"/>
    <w:rsid w:val="00930822"/>
    <w:rsid w:val="009435F5"/>
    <w:rsid w:val="009A42DA"/>
    <w:rsid w:val="00A07F21"/>
    <w:rsid w:val="00A35963"/>
    <w:rsid w:val="00A5372C"/>
    <w:rsid w:val="00A82E45"/>
    <w:rsid w:val="00AE6967"/>
    <w:rsid w:val="00AF2010"/>
    <w:rsid w:val="00B413B2"/>
    <w:rsid w:val="00BA2EA9"/>
    <w:rsid w:val="00C5014F"/>
    <w:rsid w:val="00CE2C4A"/>
    <w:rsid w:val="00DB02B1"/>
    <w:rsid w:val="00DD1CB8"/>
    <w:rsid w:val="00E0220D"/>
    <w:rsid w:val="00EC1577"/>
    <w:rsid w:val="00F249B4"/>
    <w:rsid w:val="00F249FE"/>
    <w:rsid w:val="00F32587"/>
    <w:rsid w:val="00F9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CE82"/>
  <w15:chartTrackingRefBased/>
  <w15:docId w15:val="{50376555-F8C7-43AA-9A50-5E382FDD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BF5"/>
    <w:rPr>
      <w:color w:val="0563C1" w:themeColor="hyperlink"/>
      <w:u w:val="single"/>
    </w:rPr>
  </w:style>
  <w:style w:type="character" w:styleId="UnresolvedMention">
    <w:name w:val="Unresolved Mention"/>
    <w:basedOn w:val="DefaultParagraphFont"/>
    <w:uiPriority w:val="99"/>
    <w:semiHidden/>
    <w:unhideWhenUsed/>
    <w:rsid w:val="00381BF5"/>
    <w:rPr>
      <w:color w:val="605E5C"/>
      <w:shd w:val="clear" w:color="auto" w:fill="E1DFDD"/>
    </w:rPr>
  </w:style>
  <w:style w:type="table" w:styleId="TableGrid">
    <w:name w:val="Table Grid"/>
    <w:basedOn w:val="TableNormal"/>
    <w:uiPriority w:val="39"/>
    <w:rsid w:val="00E0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3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91084">
      <w:bodyDiv w:val="1"/>
      <w:marLeft w:val="0"/>
      <w:marRight w:val="0"/>
      <w:marTop w:val="0"/>
      <w:marBottom w:val="0"/>
      <w:divBdr>
        <w:top w:val="none" w:sz="0" w:space="0" w:color="auto"/>
        <w:left w:val="none" w:sz="0" w:space="0" w:color="auto"/>
        <w:bottom w:val="none" w:sz="0" w:space="0" w:color="auto"/>
        <w:right w:val="none" w:sz="0" w:space="0" w:color="auto"/>
      </w:divBdr>
    </w:div>
    <w:div w:id="17730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ha-web.com/portal/applicant/salem/status.aspx" TargetMode="External"/><Relationship Id="rId5" Type="http://schemas.openxmlformats.org/officeDocument/2006/relationships/hyperlink" Target="https://pha-web.com/portal/applicant/sal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D41DC-D3C1-422D-B8B0-D16DD63C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Heinz</dc:creator>
  <cp:keywords/>
  <dc:description/>
  <cp:lastModifiedBy>Karen Chiarello</cp:lastModifiedBy>
  <cp:revision>2</cp:revision>
  <dcterms:created xsi:type="dcterms:W3CDTF">2021-01-15T17:16:00Z</dcterms:created>
  <dcterms:modified xsi:type="dcterms:W3CDTF">2021-01-15T17:16:00Z</dcterms:modified>
</cp:coreProperties>
</file>