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37FE7" w14:textId="6FD88970" w:rsidR="005A09C8" w:rsidRDefault="005A09C8" w:rsidP="005A09C8">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La Autoridad de Vivienda de la Ciudad de Salem, New Jersey anuncia la apertura de la lista de espera para el </w:t>
      </w:r>
      <w:r w:rsidR="001E1E75">
        <w:rPr>
          <w:rFonts w:ascii="Times New Roman" w:hAnsi="Times New Roman" w:cs="Times New Roman"/>
          <w:b/>
          <w:bCs/>
          <w:sz w:val="24"/>
          <w:szCs w:val="24"/>
          <w:lang w:val="es-ES"/>
        </w:rPr>
        <w:t>P</w:t>
      </w:r>
      <w:r>
        <w:rPr>
          <w:rFonts w:ascii="Times New Roman" w:hAnsi="Times New Roman" w:cs="Times New Roman"/>
          <w:b/>
          <w:bCs/>
          <w:sz w:val="24"/>
          <w:szCs w:val="24"/>
          <w:lang w:val="es-ES"/>
        </w:rPr>
        <w:t xml:space="preserve">rograma de </w:t>
      </w:r>
      <w:r w:rsidR="001E1E75">
        <w:rPr>
          <w:rFonts w:ascii="Times New Roman" w:hAnsi="Times New Roman" w:cs="Times New Roman"/>
          <w:b/>
          <w:bCs/>
          <w:sz w:val="24"/>
          <w:szCs w:val="24"/>
          <w:lang w:val="es-ES"/>
        </w:rPr>
        <w:t>V</w:t>
      </w:r>
      <w:r>
        <w:rPr>
          <w:rFonts w:ascii="Times New Roman" w:hAnsi="Times New Roman" w:cs="Times New Roman"/>
          <w:b/>
          <w:bCs/>
          <w:sz w:val="24"/>
          <w:szCs w:val="24"/>
          <w:lang w:val="es-ES"/>
        </w:rPr>
        <w:t xml:space="preserve">ales de </w:t>
      </w:r>
      <w:r w:rsidR="001E1E75">
        <w:rPr>
          <w:rFonts w:ascii="Times New Roman" w:hAnsi="Times New Roman" w:cs="Times New Roman"/>
          <w:b/>
          <w:bCs/>
          <w:sz w:val="24"/>
          <w:szCs w:val="24"/>
          <w:lang w:val="es-ES"/>
        </w:rPr>
        <w:t>E</w:t>
      </w:r>
      <w:r>
        <w:rPr>
          <w:rFonts w:ascii="Times New Roman" w:hAnsi="Times New Roman" w:cs="Times New Roman"/>
          <w:b/>
          <w:bCs/>
          <w:sz w:val="24"/>
          <w:szCs w:val="24"/>
          <w:lang w:val="es-ES"/>
        </w:rPr>
        <w:t xml:space="preserve">lección de </w:t>
      </w:r>
      <w:r w:rsidR="001E1E75">
        <w:rPr>
          <w:rFonts w:ascii="Times New Roman" w:hAnsi="Times New Roman" w:cs="Times New Roman"/>
          <w:b/>
          <w:bCs/>
          <w:sz w:val="24"/>
          <w:szCs w:val="24"/>
          <w:lang w:val="es-ES"/>
        </w:rPr>
        <w:t>V</w:t>
      </w:r>
      <w:r>
        <w:rPr>
          <w:rFonts w:ascii="Times New Roman" w:hAnsi="Times New Roman" w:cs="Times New Roman"/>
          <w:b/>
          <w:bCs/>
          <w:sz w:val="24"/>
          <w:szCs w:val="24"/>
          <w:lang w:val="es-ES"/>
        </w:rPr>
        <w:t>ivienda</w:t>
      </w:r>
      <w:r w:rsidR="001E1E75">
        <w:rPr>
          <w:rFonts w:ascii="Times New Roman" w:hAnsi="Times New Roman" w:cs="Times New Roman"/>
          <w:b/>
          <w:bCs/>
          <w:sz w:val="24"/>
          <w:szCs w:val="24"/>
          <w:lang w:val="es-ES"/>
        </w:rPr>
        <w:t xml:space="preserve"> (Sección 8)</w:t>
      </w:r>
    </w:p>
    <w:p w14:paraId="54FEA3AC" w14:textId="77777777" w:rsidR="005A09C8" w:rsidRDefault="005A09C8" w:rsidP="005A09C8">
      <w:pPr>
        <w:jc w:val="center"/>
        <w:rPr>
          <w:rFonts w:ascii="Times New Roman" w:hAnsi="Times New Roman" w:cs="Times New Roman"/>
          <w:sz w:val="24"/>
          <w:szCs w:val="24"/>
          <w:lang w:val="es-ES"/>
        </w:rPr>
      </w:pPr>
    </w:p>
    <w:p w14:paraId="47D9E6C2" w14:textId="47E6E66F" w:rsidR="005A09C8" w:rsidRDefault="005A09C8" w:rsidP="001D54F4">
      <w:pPr>
        <w:rPr>
          <w:rFonts w:ascii="Times New Roman" w:hAnsi="Times New Roman" w:cs="Times New Roman"/>
          <w:sz w:val="24"/>
          <w:szCs w:val="24"/>
          <w:lang w:val="es-ES"/>
        </w:rPr>
      </w:pPr>
      <w:r>
        <w:rPr>
          <w:rFonts w:ascii="Times New Roman" w:hAnsi="Times New Roman" w:cs="Times New Roman"/>
          <w:sz w:val="24"/>
          <w:szCs w:val="24"/>
          <w:lang w:val="es-ES"/>
        </w:rPr>
        <w:t xml:space="preserve">La Autoridad de Vivienda de Salem (SHA) abrirá la lista de espera para el Programa de Vales de Elección de vivienda el </w:t>
      </w:r>
      <w:r w:rsidR="001E1E75">
        <w:rPr>
          <w:rFonts w:ascii="Times New Roman" w:hAnsi="Times New Roman" w:cs="Times New Roman"/>
          <w:sz w:val="24"/>
          <w:szCs w:val="24"/>
          <w:lang w:val="es-ES"/>
        </w:rPr>
        <w:t>1</w:t>
      </w:r>
      <w:r>
        <w:rPr>
          <w:rFonts w:ascii="Times New Roman" w:hAnsi="Times New Roman" w:cs="Times New Roman"/>
          <w:sz w:val="24"/>
          <w:szCs w:val="24"/>
          <w:lang w:val="es-ES"/>
        </w:rPr>
        <w:t xml:space="preserve"> de </w:t>
      </w:r>
      <w:r w:rsidR="001E1E75">
        <w:rPr>
          <w:rFonts w:ascii="Times New Roman" w:hAnsi="Times New Roman" w:cs="Times New Roman"/>
          <w:sz w:val="24"/>
          <w:szCs w:val="24"/>
          <w:lang w:val="es-ES"/>
        </w:rPr>
        <w:t>febrero</w:t>
      </w:r>
      <w:r>
        <w:rPr>
          <w:rFonts w:ascii="Times New Roman" w:hAnsi="Times New Roman" w:cs="Times New Roman"/>
          <w:sz w:val="24"/>
          <w:szCs w:val="24"/>
          <w:lang w:val="es-ES"/>
        </w:rPr>
        <w:t xml:space="preserve"> de 2021 a las 9:00am EST hasta el 1</w:t>
      </w:r>
      <w:r w:rsidR="001E1E75">
        <w:rPr>
          <w:rFonts w:ascii="Times New Roman" w:hAnsi="Times New Roman" w:cs="Times New Roman"/>
          <w:sz w:val="24"/>
          <w:szCs w:val="24"/>
          <w:lang w:val="es-ES"/>
        </w:rPr>
        <w:t>5</w:t>
      </w:r>
      <w:r>
        <w:rPr>
          <w:rFonts w:ascii="Times New Roman" w:hAnsi="Times New Roman" w:cs="Times New Roman"/>
          <w:sz w:val="24"/>
          <w:szCs w:val="24"/>
          <w:lang w:val="es-ES"/>
        </w:rPr>
        <w:t xml:space="preserve"> de </w:t>
      </w:r>
      <w:r w:rsidR="001E1E75">
        <w:rPr>
          <w:rFonts w:ascii="Times New Roman" w:hAnsi="Times New Roman" w:cs="Times New Roman"/>
          <w:sz w:val="24"/>
          <w:szCs w:val="24"/>
          <w:lang w:val="es-ES"/>
        </w:rPr>
        <w:t>f</w:t>
      </w:r>
      <w:r>
        <w:rPr>
          <w:rFonts w:ascii="Times New Roman" w:hAnsi="Times New Roman" w:cs="Times New Roman"/>
          <w:sz w:val="24"/>
          <w:szCs w:val="24"/>
          <w:lang w:val="es-ES"/>
        </w:rPr>
        <w:t>ebrero de 2021 a las 4:00pm EST.</w:t>
      </w:r>
    </w:p>
    <w:p w14:paraId="0D768230" w14:textId="77777777" w:rsidR="005A09C8" w:rsidRDefault="005A09C8" w:rsidP="005A09C8">
      <w:pPr>
        <w:rPr>
          <w:rFonts w:ascii="Times New Roman" w:hAnsi="Times New Roman" w:cs="Times New Roman"/>
          <w:sz w:val="24"/>
          <w:szCs w:val="24"/>
          <w:lang w:val="es-ES"/>
        </w:rPr>
      </w:pPr>
      <w:r>
        <w:rPr>
          <w:rFonts w:ascii="Times New Roman" w:hAnsi="Times New Roman" w:cs="Times New Roman"/>
          <w:sz w:val="24"/>
          <w:szCs w:val="24"/>
          <w:lang w:val="es-ES"/>
        </w:rPr>
        <w:t>El Programa de Vales de Elección de Vivienda (Sección 8) es un programa financiado con fondos federales que proporciona subsidios de vivienda en nombre de personas de bajos ingresos para una vivienda decente, segura y sanitaria. Las personas que presenten la solicitud deben cumplir con todos los requisitos de ingresos y elegibilidad del Departamento de Vivienda y Desarrollo de los EE. UU (HUD).</w:t>
      </w:r>
    </w:p>
    <w:p w14:paraId="166D1985" w14:textId="1DB2412F" w:rsidR="005A09C8" w:rsidRDefault="005A09C8" w:rsidP="005A09C8">
      <w:pPr>
        <w:rPr>
          <w:rFonts w:ascii="Times New Roman" w:hAnsi="Times New Roman" w:cs="Times New Roman"/>
          <w:sz w:val="24"/>
          <w:szCs w:val="24"/>
          <w:lang w:val="es-ES"/>
        </w:rPr>
      </w:pPr>
      <w:r>
        <w:rPr>
          <w:rFonts w:ascii="Times New Roman" w:hAnsi="Times New Roman" w:cs="Times New Roman"/>
          <w:sz w:val="24"/>
          <w:szCs w:val="24"/>
          <w:lang w:val="es-ES"/>
        </w:rPr>
        <w:t xml:space="preserve">Todas las solicitudes deben enviarse en línea </w:t>
      </w:r>
      <w:hyperlink r:id="rId4" w:history="1">
        <w:r w:rsidR="00F45899" w:rsidRPr="0090035F">
          <w:rPr>
            <w:rStyle w:val="Hyperlink"/>
            <w:rFonts w:ascii="Times New Roman" w:hAnsi="Times New Roman" w:cs="Times New Roman"/>
            <w:sz w:val="24"/>
            <w:szCs w:val="24"/>
            <w:lang w:val="es-ES"/>
          </w:rPr>
          <w:t>https://pha-web.com/portal/applicant/salem</w:t>
        </w:r>
      </w:hyperlink>
      <w:r>
        <w:rPr>
          <w:rFonts w:ascii="Times New Roman" w:hAnsi="Times New Roman" w:cs="Times New Roman"/>
          <w:sz w:val="24"/>
          <w:szCs w:val="24"/>
          <w:lang w:val="es-ES"/>
        </w:rPr>
        <w:t>. La aplicación está disponible en varios idiomas.</w:t>
      </w:r>
    </w:p>
    <w:p w14:paraId="7278D1FD" w14:textId="43F01536" w:rsidR="005A09C8" w:rsidRDefault="005A09C8" w:rsidP="005A09C8">
      <w:pPr>
        <w:rPr>
          <w:rFonts w:ascii="Times New Roman" w:hAnsi="Times New Roman" w:cs="Times New Roman"/>
          <w:sz w:val="24"/>
          <w:szCs w:val="24"/>
          <w:lang w:val="es-ES"/>
        </w:rPr>
      </w:pPr>
      <w:r>
        <w:rPr>
          <w:rFonts w:ascii="Times New Roman" w:hAnsi="Times New Roman" w:cs="Times New Roman"/>
          <w:sz w:val="24"/>
          <w:szCs w:val="24"/>
          <w:lang w:val="es-ES"/>
        </w:rPr>
        <w:t xml:space="preserve">Las solicitudes enviadas en línea para asistencia de vivienda serán aceptadas a través de un proceso de lotería.  Se aceptarán </w:t>
      </w:r>
      <w:r w:rsidRPr="00F45899">
        <w:rPr>
          <w:rFonts w:ascii="Times New Roman" w:hAnsi="Times New Roman" w:cs="Times New Roman"/>
          <w:b/>
          <w:bCs/>
          <w:sz w:val="24"/>
          <w:szCs w:val="24"/>
          <w:lang w:val="es-ES"/>
        </w:rPr>
        <w:t>60</w:t>
      </w:r>
      <w:r>
        <w:rPr>
          <w:rFonts w:ascii="Times New Roman" w:hAnsi="Times New Roman" w:cs="Times New Roman"/>
          <w:sz w:val="24"/>
          <w:szCs w:val="24"/>
          <w:lang w:val="es-ES"/>
        </w:rPr>
        <w:t xml:space="preserve"> solicitudes a través del proceso de lotería y se colocarán en la lista de espera. Debe tener 18 años o más para presentar la solicitud, o ser un menor emancipado. Solo se aceptará una solicitud por hogar. </w:t>
      </w:r>
    </w:p>
    <w:p w14:paraId="201CCC7A" w14:textId="6975C2CB" w:rsidR="005A09C8" w:rsidRDefault="005A09C8" w:rsidP="005A09C8">
      <w:pPr>
        <w:rPr>
          <w:rFonts w:ascii="Times New Roman" w:hAnsi="Times New Roman" w:cs="Times New Roman"/>
          <w:sz w:val="24"/>
          <w:szCs w:val="24"/>
          <w:lang w:val="es-ES"/>
        </w:rPr>
      </w:pPr>
      <w:r>
        <w:rPr>
          <w:rFonts w:ascii="Times New Roman" w:hAnsi="Times New Roman" w:cs="Times New Roman"/>
          <w:sz w:val="24"/>
          <w:szCs w:val="24"/>
          <w:lang w:val="es-ES"/>
        </w:rPr>
        <w:t xml:space="preserve">La ubicación en la lista de espera se basará en un proceso de selección computarizado (lotería). Una vez que finalice el periodo de inscripción abierta de la lista de espera, se seleccionara las aplicaciones para colocarlas en la lista de espera después de clasificar las preferencias. </w:t>
      </w:r>
    </w:p>
    <w:p w14:paraId="0BDD17A6" w14:textId="569AB3BD" w:rsidR="005A09C8" w:rsidRDefault="005A09C8" w:rsidP="005A09C8">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Su ingreso familiar total no puede exceder los siguientes límites establecidos por HUD para el condado de Salem:</w:t>
      </w:r>
    </w:p>
    <w:p w14:paraId="4BAFE47C" w14:textId="4AC0122A" w:rsidR="005A09C8" w:rsidRPr="001E1E75" w:rsidRDefault="005A09C8" w:rsidP="005A09C8">
      <w:pPr>
        <w:spacing w:line="259" w:lineRule="auto"/>
        <w:ind w:firstLine="720"/>
        <w:rPr>
          <w:b/>
          <w:bCs/>
          <w:sz w:val="20"/>
          <w:szCs w:val="20"/>
          <w:lang w:val="es-ES"/>
        </w:rPr>
      </w:pPr>
    </w:p>
    <w:tbl>
      <w:tblPr>
        <w:tblStyle w:val="TableGrid"/>
        <w:tblW w:w="0" w:type="auto"/>
        <w:jc w:val="center"/>
        <w:tblInd w:w="0" w:type="dxa"/>
        <w:tblLook w:val="04A0" w:firstRow="1" w:lastRow="0" w:firstColumn="1" w:lastColumn="0" w:noHBand="0" w:noVBand="1"/>
      </w:tblPr>
      <w:tblGrid>
        <w:gridCol w:w="1618"/>
        <w:gridCol w:w="1229"/>
        <w:gridCol w:w="804"/>
        <w:gridCol w:w="804"/>
        <w:gridCol w:w="804"/>
        <w:gridCol w:w="804"/>
        <w:gridCol w:w="804"/>
        <w:gridCol w:w="804"/>
        <w:gridCol w:w="804"/>
        <w:gridCol w:w="875"/>
      </w:tblGrid>
      <w:tr w:rsidR="005A09C8" w:rsidRPr="005A09C8" w14:paraId="5F579331" w14:textId="77777777" w:rsidTr="005A09C8">
        <w:trPr>
          <w:jc w:val="center"/>
        </w:trPr>
        <w:tc>
          <w:tcPr>
            <w:tcW w:w="9834" w:type="dxa"/>
            <w:gridSpan w:val="10"/>
          </w:tcPr>
          <w:p w14:paraId="02CF21FD" w14:textId="77777777" w:rsidR="005A09C8" w:rsidRPr="005A09C8" w:rsidRDefault="005A09C8" w:rsidP="005A09C8">
            <w:pPr>
              <w:spacing w:line="240" w:lineRule="auto"/>
              <w:jc w:val="center"/>
              <w:rPr>
                <w:b/>
                <w:bCs/>
                <w:sz w:val="20"/>
                <w:szCs w:val="20"/>
              </w:rPr>
            </w:pPr>
            <w:r w:rsidRPr="005A09C8">
              <w:rPr>
                <w:b/>
                <w:bCs/>
                <w:sz w:val="20"/>
                <w:szCs w:val="20"/>
              </w:rPr>
              <w:t>Persons in Family</w:t>
            </w:r>
          </w:p>
        </w:tc>
      </w:tr>
      <w:tr w:rsidR="005A09C8" w:rsidRPr="005A09C8" w14:paraId="65ACC080" w14:textId="77777777" w:rsidTr="005A09C8">
        <w:trPr>
          <w:jc w:val="center"/>
        </w:trPr>
        <w:tc>
          <w:tcPr>
            <w:tcW w:w="1795" w:type="dxa"/>
          </w:tcPr>
          <w:p w14:paraId="3DB6A60E" w14:textId="77777777" w:rsidR="005A09C8" w:rsidRPr="005A09C8" w:rsidRDefault="005A09C8" w:rsidP="005A09C8">
            <w:pPr>
              <w:spacing w:line="240" w:lineRule="auto"/>
              <w:rPr>
                <w:sz w:val="20"/>
                <w:szCs w:val="20"/>
              </w:rPr>
            </w:pPr>
            <w:r w:rsidRPr="005A09C8">
              <w:rPr>
                <w:sz w:val="20"/>
                <w:szCs w:val="20"/>
              </w:rPr>
              <w:t>FY 2020</w:t>
            </w:r>
          </w:p>
          <w:p w14:paraId="230D3D1B" w14:textId="77777777" w:rsidR="005A09C8" w:rsidRPr="005A09C8" w:rsidRDefault="005A09C8" w:rsidP="005A09C8">
            <w:pPr>
              <w:spacing w:line="240" w:lineRule="auto"/>
              <w:rPr>
                <w:sz w:val="20"/>
                <w:szCs w:val="20"/>
              </w:rPr>
            </w:pPr>
            <w:r w:rsidRPr="005A09C8">
              <w:rPr>
                <w:sz w:val="20"/>
                <w:szCs w:val="20"/>
              </w:rPr>
              <w:t>Income Limit Area</w:t>
            </w:r>
          </w:p>
        </w:tc>
        <w:tc>
          <w:tcPr>
            <w:tcW w:w="1375" w:type="dxa"/>
          </w:tcPr>
          <w:p w14:paraId="3DF76788" w14:textId="77777777" w:rsidR="005A09C8" w:rsidRPr="005A09C8" w:rsidRDefault="005A09C8" w:rsidP="005A09C8">
            <w:pPr>
              <w:spacing w:line="240" w:lineRule="auto"/>
              <w:rPr>
                <w:sz w:val="20"/>
                <w:szCs w:val="20"/>
              </w:rPr>
            </w:pPr>
            <w:r w:rsidRPr="005A09C8">
              <w:rPr>
                <w:sz w:val="20"/>
                <w:szCs w:val="20"/>
              </w:rPr>
              <w:t>FY 2020 Income Limit Category</w:t>
            </w:r>
          </w:p>
        </w:tc>
        <w:tc>
          <w:tcPr>
            <w:tcW w:w="827" w:type="dxa"/>
          </w:tcPr>
          <w:p w14:paraId="574BADE3" w14:textId="77777777" w:rsidR="005A09C8" w:rsidRPr="005A09C8" w:rsidRDefault="005A09C8" w:rsidP="005A09C8">
            <w:pPr>
              <w:spacing w:line="240" w:lineRule="auto"/>
              <w:jc w:val="center"/>
              <w:rPr>
                <w:b/>
                <w:bCs/>
                <w:sz w:val="20"/>
                <w:szCs w:val="20"/>
              </w:rPr>
            </w:pPr>
          </w:p>
          <w:p w14:paraId="0D5AC35F" w14:textId="77777777" w:rsidR="005A09C8" w:rsidRPr="005A09C8" w:rsidRDefault="005A09C8" w:rsidP="005A09C8">
            <w:pPr>
              <w:spacing w:line="240" w:lineRule="auto"/>
              <w:jc w:val="center"/>
              <w:rPr>
                <w:b/>
                <w:bCs/>
                <w:sz w:val="20"/>
                <w:szCs w:val="20"/>
              </w:rPr>
            </w:pPr>
          </w:p>
          <w:p w14:paraId="6E05C82F" w14:textId="77777777" w:rsidR="005A09C8" w:rsidRPr="005A09C8" w:rsidRDefault="005A09C8" w:rsidP="005A09C8">
            <w:pPr>
              <w:spacing w:line="240" w:lineRule="auto"/>
              <w:jc w:val="center"/>
              <w:rPr>
                <w:b/>
                <w:bCs/>
                <w:sz w:val="20"/>
                <w:szCs w:val="20"/>
              </w:rPr>
            </w:pPr>
            <w:r w:rsidRPr="005A09C8">
              <w:rPr>
                <w:b/>
                <w:bCs/>
                <w:sz w:val="20"/>
                <w:szCs w:val="20"/>
              </w:rPr>
              <w:t>1</w:t>
            </w:r>
          </w:p>
        </w:tc>
        <w:tc>
          <w:tcPr>
            <w:tcW w:w="827" w:type="dxa"/>
          </w:tcPr>
          <w:p w14:paraId="6EDDA783" w14:textId="77777777" w:rsidR="005A09C8" w:rsidRPr="005A09C8" w:rsidRDefault="005A09C8" w:rsidP="005A09C8">
            <w:pPr>
              <w:spacing w:line="240" w:lineRule="auto"/>
              <w:jc w:val="center"/>
              <w:rPr>
                <w:b/>
                <w:bCs/>
                <w:sz w:val="20"/>
                <w:szCs w:val="20"/>
              </w:rPr>
            </w:pPr>
          </w:p>
          <w:p w14:paraId="487030EB" w14:textId="77777777" w:rsidR="005A09C8" w:rsidRPr="005A09C8" w:rsidRDefault="005A09C8" w:rsidP="005A09C8">
            <w:pPr>
              <w:spacing w:line="240" w:lineRule="auto"/>
              <w:jc w:val="center"/>
              <w:rPr>
                <w:b/>
                <w:bCs/>
                <w:sz w:val="20"/>
                <w:szCs w:val="20"/>
              </w:rPr>
            </w:pPr>
          </w:p>
          <w:p w14:paraId="1311899B" w14:textId="77777777" w:rsidR="005A09C8" w:rsidRPr="005A09C8" w:rsidRDefault="005A09C8" w:rsidP="005A09C8">
            <w:pPr>
              <w:spacing w:line="240" w:lineRule="auto"/>
              <w:jc w:val="center"/>
              <w:rPr>
                <w:b/>
                <w:bCs/>
                <w:sz w:val="20"/>
                <w:szCs w:val="20"/>
              </w:rPr>
            </w:pPr>
            <w:r w:rsidRPr="005A09C8">
              <w:rPr>
                <w:b/>
                <w:bCs/>
                <w:sz w:val="20"/>
                <w:szCs w:val="20"/>
              </w:rPr>
              <w:t>2</w:t>
            </w:r>
          </w:p>
        </w:tc>
        <w:tc>
          <w:tcPr>
            <w:tcW w:w="827" w:type="dxa"/>
          </w:tcPr>
          <w:p w14:paraId="22D8B7CE" w14:textId="77777777" w:rsidR="005A09C8" w:rsidRPr="005A09C8" w:rsidRDefault="005A09C8" w:rsidP="005A09C8">
            <w:pPr>
              <w:spacing w:line="240" w:lineRule="auto"/>
              <w:jc w:val="center"/>
              <w:rPr>
                <w:b/>
                <w:bCs/>
                <w:sz w:val="20"/>
                <w:szCs w:val="20"/>
              </w:rPr>
            </w:pPr>
          </w:p>
          <w:p w14:paraId="6F103206" w14:textId="77777777" w:rsidR="005A09C8" w:rsidRPr="005A09C8" w:rsidRDefault="005A09C8" w:rsidP="005A09C8">
            <w:pPr>
              <w:spacing w:line="240" w:lineRule="auto"/>
              <w:jc w:val="center"/>
              <w:rPr>
                <w:b/>
                <w:bCs/>
                <w:sz w:val="20"/>
                <w:szCs w:val="20"/>
              </w:rPr>
            </w:pPr>
          </w:p>
          <w:p w14:paraId="5B5C085D" w14:textId="77777777" w:rsidR="005A09C8" w:rsidRPr="005A09C8" w:rsidRDefault="005A09C8" w:rsidP="005A09C8">
            <w:pPr>
              <w:spacing w:line="240" w:lineRule="auto"/>
              <w:jc w:val="center"/>
              <w:rPr>
                <w:b/>
                <w:bCs/>
                <w:sz w:val="20"/>
                <w:szCs w:val="20"/>
              </w:rPr>
            </w:pPr>
            <w:r w:rsidRPr="005A09C8">
              <w:rPr>
                <w:b/>
                <w:bCs/>
                <w:sz w:val="20"/>
                <w:szCs w:val="20"/>
              </w:rPr>
              <w:t>3</w:t>
            </w:r>
          </w:p>
          <w:p w14:paraId="74B9BF1C" w14:textId="77777777" w:rsidR="005A09C8" w:rsidRPr="005A09C8" w:rsidRDefault="005A09C8" w:rsidP="005A09C8">
            <w:pPr>
              <w:spacing w:line="240" w:lineRule="auto"/>
              <w:jc w:val="center"/>
              <w:rPr>
                <w:b/>
                <w:bCs/>
                <w:sz w:val="20"/>
                <w:szCs w:val="20"/>
              </w:rPr>
            </w:pPr>
          </w:p>
        </w:tc>
        <w:tc>
          <w:tcPr>
            <w:tcW w:w="827" w:type="dxa"/>
          </w:tcPr>
          <w:p w14:paraId="14E58185" w14:textId="77777777" w:rsidR="005A09C8" w:rsidRPr="005A09C8" w:rsidRDefault="005A09C8" w:rsidP="005A09C8">
            <w:pPr>
              <w:spacing w:line="240" w:lineRule="auto"/>
              <w:jc w:val="center"/>
              <w:rPr>
                <w:b/>
                <w:bCs/>
                <w:sz w:val="20"/>
                <w:szCs w:val="20"/>
              </w:rPr>
            </w:pPr>
          </w:p>
          <w:p w14:paraId="43A697F8" w14:textId="77777777" w:rsidR="005A09C8" w:rsidRPr="005A09C8" w:rsidRDefault="005A09C8" w:rsidP="005A09C8">
            <w:pPr>
              <w:spacing w:line="240" w:lineRule="auto"/>
              <w:jc w:val="center"/>
              <w:rPr>
                <w:b/>
                <w:bCs/>
                <w:sz w:val="20"/>
                <w:szCs w:val="20"/>
              </w:rPr>
            </w:pPr>
          </w:p>
          <w:p w14:paraId="6920D7F6" w14:textId="77777777" w:rsidR="005A09C8" w:rsidRPr="005A09C8" w:rsidRDefault="005A09C8" w:rsidP="005A09C8">
            <w:pPr>
              <w:spacing w:line="240" w:lineRule="auto"/>
              <w:jc w:val="center"/>
              <w:rPr>
                <w:b/>
                <w:bCs/>
                <w:sz w:val="20"/>
                <w:szCs w:val="20"/>
              </w:rPr>
            </w:pPr>
            <w:r w:rsidRPr="005A09C8">
              <w:rPr>
                <w:b/>
                <w:bCs/>
                <w:sz w:val="20"/>
                <w:szCs w:val="20"/>
              </w:rPr>
              <w:t>4</w:t>
            </w:r>
          </w:p>
        </w:tc>
        <w:tc>
          <w:tcPr>
            <w:tcW w:w="827" w:type="dxa"/>
          </w:tcPr>
          <w:p w14:paraId="2C09F486" w14:textId="77777777" w:rsidR="005A09C8" w:rsidRPr="005A09C8" w:rsidRDefault="005A09C8" w:rsidP="005A09C8">
            <w:pPr>
              <w:spacing w:line="240" w:lineRule="auto"/>
              <w:jc w:val="center"/>
              <w:rPr>
                <w:b/>
                <w:bCs/>
                <w:sz w:val="20"/>
                <w:szCs w:val="20"/>
              </w:rPr>
            </w:pPr>
          </w:p>
          <w:p w14:paraId="14F691B3" w14:textId="77777777" w:rsidR="005A09C8" w:rsidRPr="005A09C8" w:rsidRDefault="005A09C8" w:rsidP="005A09C8">
            <w:pPr>
              <w:spacing w:line="240" w:lineRule="auto"/>
              <w:jc w:val="center"/>
              <w:rPr>
                <w:b/>
                <w:bCs/>
                <w:sz w:val="20"/>
                <w:szCs w:val="20"/>
              </w:rPr>
            </w:pPr>
          </w:p>
          <w:p w14:paraId="52402B69" w14:textId="77777777" w:rsidR="005A09C8" w:rsidRPr="005A09C8" w:rsidRDefault="005A09C8" w:rsidP="005A09C8">
            <w:pPr>
              <w:spacing w:line="240" w:lineRule="auto"/>
              <w:jc w:val="center"/>
              <w:rPr>
                <w:b/>
                <w:bCs/>
                <w:sz w:val="20"/>
                <w:szCs w:val="20"/>
              </w:rPr>
            </w:pPr>
            <w:r w:rsidRPr="005A09C8">
              <w:rPr>
                <w:b/>
                <w:bCs/>
                <w:sz w:val="20"/>
                <w:szCs w:val="20"/>
              </w:rPr>
              <w:t>5</w:t>
            </w:r>
          </w:p>
        </w:tc>
        <w:tc>
          <w:tcPr>
            <w:tcW w:w="827" w:type="dxa"/>
          </w:tcPr>
          <w:p w14:paraId="02CE3B82" w14:textId="77777777" w:rsidR="005A09C8" w:rsidRPr="005A09C8" w:rsidRDefault="005A09C8" w:rsidP="005A09C8">
            <w:pPr>
              <w:spacing w:line="240" w:lineRule="auto"/>
              <w:jc w:val="center"/>
              <w:rPr>
                <w:b/>
                <w:bCs/>
                <w:sz w:val="20"/>
                <w:szCs w:val="20"/>
              </w:rPr>
            </w:pPr>
          </w:p>
          <w:p w14:paraId="3CCD8DF8" w14:textId="77777777" w:rsidR="005A09C8" w:rsidRPr="005A09C8" w:rsidRDefault="005A09C8" w:rsidP="005A09C8">
            <w:pPr>
              <w:spacing w:line="240" w:lineRule="auto"/>
              <w:jc w:val="center"/>
              <w:rPr>
                <w:b/>
                <w:bCs/>
                <w:sz w:val="20"/>
                <w:szCs w:val="20"/>
              </w:rPr>
            </w:pPr>
          </w:p>
          <w:p w14:paraId="34CC2F39" w14:textId="77777777" w:rsidR="005A09C8" w:rsidRPr="005A09C8" w:rsidRDefault="005A09C8" w:rsidP="005A09C8">
            <w:pPr>
              <w:spacing w:line="240" w:lineRule="auto"/>
              <w:jc w:val="center"/>
              <w:rPr>
                <w:b/>
                <w:bCs/>
                <w:sz w:val="20"/>
                <w:szCs w:val="20"/>
              </w:rPr>
            </w:pPr>
            <w:r w:rsidRPr="005A09C8">
              <w:rPr>
                <w:b/>
                <w:bCs/>
                <w:sz w:val="20"/>
                <w:szCs w:val="20"/>
              </w:rPr>
              <w:t>6</w:t>
            </w:r>
          </w:p>
        </w:tc>
        <w:tc>
          <w:tcPr>
            <w:tcW w:w="827" w:type="dxa"/>
          </w:tcPr>
          <w:p w14:paraId="183C7D2B" w14:textId="77777777" w:rsidR="005A09C8" w:rsidRPr="005A09C8" w:rsidRDefault="005A09C8" w:rsidP="005A09C8">
            <w:pPr>
              <w:spacing w:line="240" w:lineRule="auto"/>
              <w:jc w:val="center"/>
              <w:rPr>
                <w:b/>
                <w:bCs/>
                <w:sz w:val="20"/>
                <w:szCs w:val="20"/>
              </w:rPr>
            </w:pPr>
          </w:p>
          <w:p w14:paraId="639A9DD4" w14:textId="77777777" w:rsidR="005A09C8" w:rsidRPr="005A09C8" w:rsidRDefault="005A09C8" w:rsidP="005A09C8">
            <w:pPr>
              <w:spacing w:line="240" w:lineRule="auto"/>
              <w:jc w:val="center"/>
              <w:rPr>
                <w:b/>
                <w:bCs/>
                <w:sz w:val="20"/>
                <w:szCs w:val="20"/>
              </w:rPr>
            </w:pPr>
          </w:p>
          <w:p w14:paraId="3DA5CB99" w14:textId="77777777" w:rsidR="005A09C8" w:rsidRPr="005A09C8" w:rsidRDefault="005A09C8" w:rsidP="005A09C8">
            <w:pPr>
              <w:spacing w:line="240" w:lineRule="auto"/>
              <w:jc w:val="center"/>
              <w:rPr>
                <w:b/>
                <w:bCs/>
                <w:sz w:val="20"/>
                <w:szCs w:val="20"/>
              </w:rPr>
            </w:pPr>
            <w:r w:rsidRPr="005A09C8">
              <w:rPr>
                <w:b/>
                <w:bCs/>
                <w:sz w:val="20"/>
                <w:szCs w:val="20"/>
              </w:rPr>
              <w:t>7</w:t>
            </w:r>
          </w:p>
        </w:tc>
        <w:tc>
          <w:tcPr>
            <w:tcW w:w="875" w:type="dxa"/>
          </w:tcPr>
          <w:p w14:paraId="1C80708B" w14:textId="77777777" w:rsidR="005A09C8" w:rsidRPr="005A09C8" w:rsidRDefault="005A09C8" w:rsidP="005A09C8">
            <w:pPr>
              <w:spacing w:line="240" w:lineRule="auto"/>
              <w:jc w:val="center"/>
              <w:rPr>
                <w:b/>
                <w:bCs/>
                <w:sz w:val="20"/>
                <w:szCs w:val="20"/>
              </w:rPr>
            </w:pPr>
          </w:p>
          <w:p w14:paraId="066A54AC" w14:textId="77777777" w:rsidR="005A09C8" w:rsidRPr="005A09C8" w:rsidRDefault="005A09C8" w:rsidP="005A09C8">
            <w:pPr>
              <w:spacing w:line="240" w:lineRule="auto"/>
              <w:jc w:val="center"/>
              <w:rPr>
                <w:b/>
                <w:bCs/>
                <w:sz w:val="20"/>
                <w:szCs w:val="20"/>
              </w:rPr>
            </w:pPr>
          </w:p>
          <w:p w14:paraId="383F0B99" w14:textId="77777777" w:rsidR="005A09C8" w:rsidRPr="005A09C8" w:rsidRDefault="005A09C8" w:rsidP="005A09C8">
            <w:pPr>
              <w:spacing w:line="240" w:lineRule="auto"/>
              <w:jc w:val="center"/>
              <w:rPr>
                <w:b/>
                <w:bCs/>
                <w:sz w:val="20"/>
                <w:szCs w:val="20"/>
              </w:rPr>
            </w:pPr>
            <w:r w:rsidRPr="005A09C8">
              <w:rPr>
                <w:b/>
                <w:bCs/>
                <w:sz w:val="20"/>
                <w:szCs w:val="20"/>
              </w:rPr>
              <w:t>8</w:t>
            </w:r>
          </w:p>
        </w:tc>
      </w:tr>
      <w:tr w:rsidR="005A09C8" w:rsidRPr="005A09C8" w14:paraId="276A1914" w14:textId="77777777" w:rsidTr="005A09C8">
        <w:trPr>
          <w:jc w:val="center"/>
        </w:trPr>
        <w:tc>
          <w:tcPr>
            <w:tcW w:w="1795" w:type="dxa"/>
            <w:vMerge w:val="restart"/>
          </w:tcPr>
          <w:p w14:paraId="2F61D920" w14:textId="77777777" w:rsidR="005A09C8" w:rsidRPr="005A09C8" w:rsidRDefault="005A09C8" w:rsidP="005A09C8">
            <w:pPr>
              <w:spacing w:line="240" w:lineRule="auto"/>
              <w:rPr>
                <w:rFonts w:cstheme="minorHAnsi"/>
                <w:b/>
                <w:bCs/>
              </w:rPr>
            </w:pPr>
            <w:r w:rsidRPr="005A09C8">
              <w:rPr>
                <w:rFonts w:cstheme="minorHAnsi"/>
                <w:color w:val="000000"/>
                <w:bdr w:val="none" w:sz="0" w:space="0" w:color="auto" w:frame="1"/>
              </w:rPr>
              <w:t>Philadelphia-Camden-Wilmington, PA-NJ-DE-MD MSA</w:t>
            </w:r>
          </w:p>
        </w:tc>
        <w:tc>
          <w:tcPr>
            <w:tcW w:w="1375" w:type="dxa"/>
          </w:tcPr>
          <w:p w14:paraId="3E154AB8" w14:textId="77777777" w:rsidR="005A09C8" w:rsidRPr="005A09C8" w:rsidRDefault="005A09C8" w:rsidP="005A09C8">
            <w:pPr>
              <w:spacing w:line="240" w:lineRule="auto"/>
              <w:rPr>
                <w:sz w:val="20"/>
                <w:szCs w:val="20"/>
              </w:rPr>
            </w:pPr>
            <w:r w:rsidRPr="005A09C8">
              <w:rPr>
                <w:sz w:val="20"/>
                <w:szCs w:val="20"/>
              </w:rPr>
              <w:t>Very Low Income</w:t>
            </w:r>
          </w:p>
        </w:tc>
        <w:tc>
          <w:tcPr>
            <w:tcW w:w="827" w:type="dxa"/>
          </w:tcPr>
          <w:p w14:paraId="51E05161" w14:textId="77777777" w:rsidR="005A09C8" w:rsidRPr="005A09C8" w:rsidRDefault="005A09C8" w:rsidP="005A09C8">
            <w:pPr>
              <w:spacing w:line="240" w:lineRule="auto"/>
              <w:rPr>
                <w:sz w:val="20"/>
                <w:szCs w:val="20"/>
              </w:rPr>
            </w:pPr>
            <w:r w:rsidRPr="005A09C8">
              <w:rPr>
                <w:sz w:val="20"/>
                <w:szCs w:val="20"/>
              </w:rPr>
              <w:t>33,850</w:t>
            </w:r>
          </w:p>
        </w:tc>
        <w:tc>
          <w:tcPr>
            <w:tcW w:w="827" w:type="dxa"/>
          </w:tcPr>
          <w:p w14:paraId="259EDC98" w14:textId="77777777" w:rsidR="005A09C8" w:rsidRPr="005A09C8" w:rsidRDefault="005A09C8" w:rsidP="005A09C8">
            <w:pPr>
              <w:spacing w:line="240" w:lineRule="auto"/>
              <w:rPr>
                <w:sz w:val="20"/>
                <w:szCs w:val="20"/>
              </w:rPr>
            </w:pPr>
            <w:r w:rsidRPr="005A09C8">
              <w:rPr>
                <w:sz w:val="20"/>
                <w:szCs w:val="20"/>
              </w:rPr>
              <w:t>38,650</w:t>
            </w:r>
          </w:p>
        </w:tc>
        <w:tc>
          <w:tcPr>
            <w:tcW w:w="827" w:type="dxa"/>
          </w:tcPr>
          <w:p w14:paraId="5A816B57" w14:textId="77777777" w:rsidR="005A09C8" w:rsidRPr="005A09C8" w:rsidRDefault="005A09C8" w:rsidP="005A09C8">
            <w:pPr>
              <w:spacing w:line="240" w:lineRule="auto"/>
              <w:rPr>
                <w:sz w:val="20"/>
                <w:szCs w:val="20"/>
              </w:rPr>
            </w:pPr>
            <w:r w:rsidRPr="005A09C8">
              <w:rPr>
                <w:sz w:val="20"/>
                <w:szCs w:val="20"/>
              </w:rPr>
              <w:t>43,500</w:t>
            </w:r>
          </w:p>
        </w:tc>
        <w:tc>
          <w:tcPr>
            <w:tcW w:w="827" w:type="dxa"/>
          </w:tcPr>
          <w:p w14:paraId="31FFC452" w14:textId="77777777" w:rsidR="005A09C8" w:rsidRPr="005A09C8" w:rsidRDefault="005A09C8" w:rsidP="005A09C8">
            <w:pPr>
              <w:spacing w:line="240" w:lineRule="auto"/>
              <w:rPr>
                <w:sz w:val="20"/>
                <w:szCs w:val="20"/>
              </w:rPr>
            </w:pPr>
            <w:r w:rsidRPr="005A09C8">
              <w:rPr>
                <w:sz w:val="20"/>
                <w:szCs w:val="20"/>
              </w:rPr>
              <w:t>48,300</w:t>
            </w:r>
          </w:p>
        </w:tc>
        <w:tc>
          <w:tcPr>
            <w:tcW w:w="827" w:type="dxa"/>
          </w:tcPr>
          <w:p w14:paraId="3C1B3DDA" w14:textId="77777777" w:rsidR="005A09C8" w:rsidRPr="005A09C8" w:rsidRDefault="005A09C8" w:rsidP="005A09C8">
            <w:pPr>
              <w:spacing w:line="240" w:lineRule="auto"/>
              <w:rPr>
                <w:sz w:val="20"/>
                <w:szCs w:val="20"/>
              </w:rPr>
            </w:pPr>
            <w:r w:rsidRPr="005A09C8">
              <w:rPr>
                <w:sz w:val="20"/>
                <w:szCs w:val="20"/>
              </w:rPr>
              <w:t>52,200</w:t>
            </w:r>
          </w:p>
        </w:tc>
        <w:tc>
          <w:tcPr>
            <w:tcW w:w="827" w:type="dxa"/>
          </w:tcPr>
          <w:p w14:paraId="7C20B9A5" w14:textId="77777777" w:rsidR="005A09C8" w:rsidRPr="005A09C8" w:rsidRDefault="005A09C8" w:rsidP="005A09C8">
            <w:pPr>
              <w:spacing w:line="240" w:lineRule="auto"/>
              <w:rPr>
                <w:sz w:val="20"/>
                <w:szCs w:val="20"/>
              </w:rPr>
            </w:pPr>
            <w:r w:rsidRPr="005A09C8">
              <w:rPr>
                <w:sz w:val="20"/>
                <w:szCs w:val="20"/>
              </w:rPr>
              <w:t>56,050</w:t>
            </w:r>
          </w:p>
        </w:tc>
        <w:tc>
          <w:tcPr>
            <w:tcW w:w="827" w:type="dxa"/>
          </w:tcPr>
          <w:p w14:paraId="0E7EECE6" w14:textId="77777777" w:rsidR="005A09C8" w:rsidRPr="005A09C8" w:rsidRDefault="005A09C8" w:rsidP="005A09C8">
            <w:pPr>
              <w:spacing w:line="240" w:lineRule="auto"/>
              <w:rPr>
                <w:sz w:val="20"/>
                <w:szCs w:val="20"/>
              </w:rPr>
            </w:pPr>
            <w:r w:rsidRPr="005A09C8">
              <w:rPr>
                <w:sz w:val="20"/>
                <w:szCs w:val="20"/>
              </w:rPr>
              <w:t>59,900</w:t>
            </w:r>
          </w:p>
        </w:tc>
        <w:tc>
          <w:tcPr>
            <w:tcW w:w="875" w:type="dxa"/>
          </w:tcPr>
          <w:p w14:paraId="3652F412" w14:textId="77777777" w:rsidR="005A09C8" w:rsidRPr="005A09C8" w:rsidRDefault="005A09C8" w:rsidP="005A09C8">
            <w:pPr>
              <w:spacing w:line="240" w:lineRule="auto"/>
              <w:rPr>
                <w:sz w:val="20"/>
                <w:szCs w:val="20"/>
              </w:rPr>
            </w:pPr>
            <w:r w:rsidRPr="005A09C8">
              <w:rPr>
                <w:sz w:val="20"/>
                <w:szCs w:val="20"/>
              </w:rPr>
              <w:t>63,800</w:t>
            </w:r>
          </w:p>
        </w:tc>
      </w:tr>
      <w:tr w:rsidR="005A09C8" w:rsidRPr="005A09C8" w14:paraId="1329340A" w14:textId="77777777" w:rsidTr="005A09C8">
        <w:trPr>
          <w:jc w:val="center"/>
        </w:trPr>
        <w:tc>
          <w:tcPr>
            <w:tcW w:w="1795" w:type="dxa"/>
            <w:vMerge/>
          </w:tcPr>
          <w:p w14:paraId="2C50D322" w14:textId="77777777" w:rsidR="005A09C8" w:rsidRPr="005A09C8" w:rsidRDefault="005A09C8" w:rsidP="005A09C8">
            <w:pPr>
              <w:spacing w:line="240" w:lineRule="auto"/>
              <w:rPr>
                <w:sz w:val="20"/>
                <w:szCs w:val="20"/>
              </w:rPr>
            </w:pPr>
          </w:p>
        </w:tc>
        <w:tc>
          <w:tcPr>
            <w:tcW w:w="1375" w:type="dxa"/>
          </w:tcPr>
          <w:p w14:paraId="7B49866E" w14:textId="77777777" w:rsidR="005A09C8" w:rsidRPr="005A09C8" w:rsidRDefault="005A09C8" w:rsidP="005A09C8">
            <w:pPr>
              <w:spacing w:line="240" w:lineRule="auto"/>
              <w:rPr>
                <w:sz w:val="20"/>
                <w:szCs w:val="20"/>
              </w:rPr>
            </w:pPr>
            <w:r w:rsidRPr="005A09C8">
              <w:rPr>
                <w:sz w:val="20"/>
                <w:szCs w:val="20"/>
              </w:rPr>
              <w:t>Extremely Low</w:t>
            </w:r>
          </w:p>
        </w:tc>
        <w:tc>
          <w:tcPr>
            <w:tcW w:w="827" w:type="dxa"/>
          </w:tcPr>
          <w:p w14:paraId="4EB73122" w14:textId="77777777" w:rsidR="005A09C8" w:rsidRPr="005A09C8" w:rsidRDefault="005A09C8" w:rsidP="005A09C8">
            <w:pPr>
              <w:spacing w:line="240" w:lineRule="auto"/>
              <w:rPr>
                <w:sz w:val="20"/>
                <w:szCs w:val="20"/>
              </w:rPr>
            </w:pPr>
            <w:r w:rsidRPr="005A09C8">
              <w:rPr>
                <w:sz w:val="20"/>
                <w:szCs w:val="20"/>
              </w:rPr>
              <w:t>20,300</w:t>
            </w:r>
          </w:p>
        </w:tc>
        <w:tc>
          <w:tcPr>
            <w:tcW w:w="827" w:type="dxa"/>
          </w:tcPr>
          <w:p w14:paraId="64E4B2E7" w14:textId="77777777" w:rsidR="005A09C8" w:rsidRPr="005A09C8" w:rsidRDefault="005A09C8" w:rsidP="005A09C8">
            <w:pPr>
              <w:spacing w:line="240" w:lineRule="auto"/>
              <w:rPr>
                <w:sz w:val="20"/>
                <w:szCs w:val="20"/>
              </w:rPr>
            </w:pPr>
            <w:r w:rsidRPr="005A09C8">
              <w:rPr>
                <w:sz w:val="20"/>
                <w:szCs w:val="20"/>
              </w:rPr>
              <w:t>23,200</w:t>
            </w:r>
          </w:p>
        </w:tc>
        <w:tc>
          <w:tcPr>
            <w:tcW w:w="827" w:type="dxa"/>
          </w:tcPr>
          <w:p w14:paraId="34B021AF" w14:textId="77777777" w:rsidR="005A09C8" w:rsidRPr="005A09C8" w:rsidRDefault="005A09C8" w:rsidP="005A09C8">
            <w:pPr>
              <w:spacing w:line="240" w:lineRule="auto"/>
              <w:rPr>
                <w:sz w:val="20"/>
                <w:szCs w:val="20"/>
              </w:rPr>
            </w:pPr>
            <w:r w:rsidRPr="005A09C8">
              <w:rPr>
                <w:sz w:val="20"/>
                <w:szCs w:val="20"/>
              </w:rPr>
              <w:t>26,100</w:t>
            </w:r>
          </w:p>
        </w:tc>
        <w:tc>
          <w:tcPr>
            <w:tcW w:w="827" w:type="dxa"/>
          </w:tcPr>
          <w:p w14:paraId="64090147" w14:textId="77777777" w:rsidR="005A09C8" w:rsidRPr="005A09C8" w:rsidRDefault="005A09C8" w:rsidP="005A09C8">
            <w:pPr>
              <w:spacing w:line="240" w:lineRule="auto"/>
              <w:rPr>
                <w:sz w:val="20"/>
                <w:szCs w:val="20"/>
              </w:rPr>
            </w:pPr>
            <w:r w:rsidRPr="005A09C8">
              <w:rPr>
                <w:sz w:val="20"/>
                <w:szCs w:val="20"/>
              </w:rPr>
              <w:t>29,000</w:t>
            </w:r>
          </w:p>
        </w:tc>
        <w:tc>
          <w:tcPr>
            <w:tcW w:w="827" w:type="dxa"/>
          </w:tcPr>
          <w:p w14:paraId="4882DE4E" w14:textId="77777777" w:rsidR="005A09C8" w:rsidRPr="005A09C8" w:rsidRDefault="005A09C8" w:rsidP="005A09C8">
            <w:pPr>
              <w:spacing w:line="240" w:lineRule="auto"/>
              <w:rPr>
                <w:sz w:val="20"/>
                <w:szCs w:val="20"/>
              </w:rPr>
            </w:pPr>
            <w:r w:rsidRPr="005A09C8">
              <w:rPr>
                <w:sz w:val="20"/>
                <w:szCs w:val="20"/>
              </w:rPr>
              <w:t>31,350</w:t>
            </w:r>
          </w:p>
        </w:tc>
        <w:tc>
          <w:tcPr>
            <w:tcW w:w="827" w:type="dxa"/>
          </w:tcPr>
          <w:p w14:paraId="5F97242F" w14:textId="77777777" w:rsidR="005A09C8" w:rsidRPr="005A09C8" w:rsidRDefault="005A09C8" w:rsidP="005A09C8">
            <w:pPr>
              <w:spacing w:line="240" w:lineRule="auto"/>
              <w:rPr>
                <w:sz w:val="20"/>
                <w:szCs w:val="20"/>
              </w:rPr>
            </w:pPr>
            <w:r w:rsidRPr="005A09C8">
              <w:rPr>
                <w:sz w:val="20"/>
                <w:szCs w:val="20"/>
              </w:rPr>
              <w:t>35,160</w:t>
            </w:r>
          </w:p>
        </w:tc>
        <w:tc>
          <w:tcPr>
            <w:tcW w:w="827" w:type="dxa"/>
          </w:tcPr>
          <w:p w14:paraId="445414B6" w14:textId="77777777" w:rsidR="005A09C8" w:rsidRPr="005A09C8" w:rsidRDefault="005A09C8" w:rsidP="005A09C8">
            <w:pPr>
              <w:spacing w:line="240" w:lineRule="auto"/>
              <w:rPr>
                <w:sz w:val="20"/>
                <w:szCs w:val="20"/>
              </w:rPr>
            </w:pPr>
            <w:r w:rsidRPr="005A09C8">
              <w:rPr>
                <w:sz w:val="20"/>
                <w:szCs w:val="20"/>
              </w:rPr>
              <w:t>39,640</w:t>
            </w:r>
          </w:p>
        </w:tc>
        <w:tc>
          <w:tcPr>
            <w:tcW w:w="875" w:type="dxa"/>
          </w:tcPr>
          <w:p w14:paraId="68AB6AB3" w14:textId="77777777" w:rsidR="005A09C8" w:rsidRPr="005A09C8" w:rsidRDefault="005A09C8" w:rsidP="005A09C8">
            <w:pPr>
              <w:spacing w:line="240" w:lineRule="auto"/>
              <w:rPr>
                <w:sz w:val="20"/>
                <w:szCs w:val="20"/>
              </w:rPr>
            </w:pPr>
            <w:r w:rsidRPr="005A09C8">
              <w:rPr>
                <w:sz w:val="20"/>
                <w:szCs w:val="20"/>
              </w:rPr>
              <w:t>44,120</w:t>
            </w:r>
          </w:p>
        </w:tc>
      </w:tr>
      <w:tr w:rsidR="005A09C8" w:rsidRPr="005A09C8" w14:paraId="39436DCD" w14:textId="77777777" w:rsidTr="005A09C8">
        <w:trPr>
          <w:jc w:val="center"/>
        </w:trPr>
        <w:tc>
          <w:tcPr>
            <w:tcW w:w="1795" w:type="dxa"/>
            <w:vMerge/>
          </w:tcPr>
          <w:p w14:paraId="2EBE2366" w14:textId="77777777" w:rsidR="005A09C8" w:rsidRPr="005A09C8" w:rsidRDefault="005A09C8" w:rsidP="005A09C8">
            <w:pPr>
              <w:spacing w:line="240" w:lineRule="auto"/>
              <w:rPr>
                <w:sz w:val="20"/>
                <w:szCs w:val="20"/>
              </w:rPr>
            </w:pPr>
          </w:p>
        </w:tc>
        <w:tc>
          <w:tcPr>
            <w:tcW w:w="1375" w:type="dxa"/>
          </w:tcPr>
          <w:p w14:paraId="4F2433ED" w14:textId="77777777" w:rsidR="005A09C8" w:rsidRPr="005A09C8" w:rsidRDefault="005A09C8" w:rsidP="005A09C8">
            <w:pPr>
              <w:spacing w:line="240" w:lineRule="auto"/>
              <w:rPr>
                <w:sz w:val="20"/>
                <w:szCs w:val="20"/>
              </w:rPr>
            </w:pPr>
            <w:r w:rsidRPr="005A09C8">
              <w:rPr>
                <w:sz w:val="20"/>
                <w:szCs w:val="20"/>
              </w:rPr>
              <w:t>Low</w:t>
            </w:r>
          </w:p>
        </w:tc>
        <w:tc>
          <w:tcPr>
            <w:tcW w:w="827" w:type="dxa"/>
          </w:tcPr>
          <w:p w14:paraId="3AE8F067" w14:textId="77777777" w:rsidR="005A09C8" w:rsidRPr="005A09C8" w:rsidRDefault="005A09C8" w:rsidP="005A09C8">
            <w:pPr>
              <w:spacing w:line="240" w:lineRule="auto"/>
              <w:rPr>
                <w:sz w:val="20"/>
                <w:szCs w:val="20"/>
              </w:rPr>
            </w:pPr>
            <w:r w:rsidRPr="005A09C8">
              <w:rPr>
                <w:sz w:val="20"/>
                <w:szCs w:val="20"/>
              </w:rPr>
              <w:t>54,150</w:t>
            </w:r>
          </w:p>
        </w:tc>
        <w:tc>
          <w:tcPr>
            <w:tcW w:w="827" w:type="dxa"/>
          </w:tcPr>
          <w:p w14:paraId="155B6913" w14:textId="77777777" w:rsidR="005A09C8" w:rsidRPr="005A09C8" w:rsidRDefault="005A09C8" w:rsidP="005A09C8">
            <w:pPr>
              <w:spacing w:line="240" w:lineRule="auto"/>
              <w:rPr>
                <w:sz w:val="20"/>
                <w:szCs w:val="20"/>
              </w:rPr>
            </w:pPr>
            <w:r w:rsidRPr="005A09C8">
              <w:rPr>
                <w:sz w:val="20"/>
                <w:szCs w:val="20"/>
              </w:rPr>
              <w:t>61,850</w:t>
            </w:r>
          </w:p>
        </w:tc>
        <w:tc>
          <w:tcPr>
            <w:tcW w:w="827" w:type="dxa"/>
          </w:tcPr>
          <w:p w14:paraId="6EDAC695" w14:textId="77777777" w:rsidR="005A09C8" w:rsidRPr="005A09C8" w:rsidRDefault="005A09C8" w:rsidP="005A09C8">
            <w:pPr>
              <w:spacing w:line="240" w:lineRule="auto"/>
              <w:rPr>
                <w:sz w:val="20"/>
                <w:szCs w:val="20"/>
              </w:rPr>
            </w:pPr>
            <w:r w:rsidRPr="005A09C8">
              <w:rPr>
                <w:sz w:val="20"/>
                <w:szCs w:val="20"/>
              </w:rPr>
              <w:t>69,600</w:t>
            </w:r>
          </w:p>
        </w:tc>
        <w:tc>
          <w:tcPr>
            <w:tcW w:w="827" w:type="dxa"/>
          </w:tcPr>
          <w:p w14:paraId="5A01234F" w14:textId="77777777" w:rsidR="005A09C8" w:rsidRPr="005A09C8" w:rsidRDefault="005A09C8" w:rsidP="005A09C8">
            <w:pPr>
              <w:spacing w:line="240" w:lineRule="auto"/>
              <w:rPr>
                <w:sz w:val="20"/>
                <w:szCs w:val="20"/>
              </w:rPr>
            </w:pPr>
            <w:r w:rsidRPr="005A09C8">
              <w:rPr>
                <w:sz w:val="20"/>
                <w:szCs w:val="20"/>
              </w:rPr>
              <w:t>77,300</w:t>
            </w:r>
          </w:p>
        </w:tc>
        <w:tc>
          <w:tcPr>
            <w:tcW w:w="827" w:type="dxa"/>
          </w:tcPr>
          <w:p w14:paraId="78B47E2A" w14:textId="77777777" w:rsidR="005A09C8" w:rsidRPr="005A09C8" w:rsidRDefault="005A09C8" w:rsidP="005A09C8">
            <w:pPr>
              <w:spacing w:line="240" w:lineRule="auto"/>
              <w:rPr>
                <w:sz w:val="20"/>
                <w:szCs w:val="20"/>
              </w:rPr>
            </w:pPr>
            <w:r w:rsidRPr="005A09C8">
              <w:rPr>
                <w:sz w:val="20"/>
                <w:szCs w:val="20"/>
              </w:rPr>
              <w:t>83,500</w:t>
            </w:r>
          </w:p>
        </w:tc>
        <w:tc>
          <w:tcPr>
            <w:tcW w:w="827" w:type="dxa"/>
          </w:tcPr>
          <w:p w14:paraId="3F5903C0" w14:textId="77777777" w:rsidR="005A09C8" w:rsidRPr="005A09C8" w:rsidRDefault="005A09C8" w:rsidP="005A09C8">
            <w:pPr>
              <w:spacing w:line="240" w:lineRule="auto"/>
              <w:rPr>
                <w:sz w:val="20"/>
                <w:szCs w:val="20"/>
              </w:rPr>
            </w:pPr>
            <w:r w:rsidRPr="005A09C8">
              <w:rPr>
                <w:sz w:val="20"/>
                <w:szCs w:val="20"/>
              </w:rPr>
              <w:t>89,700</w:t>
            </w:r>
          </w:p>
        </w:tc>
        <w:tc>
          <w:tcPr>
            <w:tcW w:w="827" w:type="dxa"/>
          </w:tcPr>
          <w:p w14:paraId="54F1A534" w14:textId="77777777" w:rsidR="005A09C8" w:rsidRPr="005A09C8" w:rsidRDefault="005A09C8" w:rsidP="005A09C8">
            <w:pPr>
              <w:spacing w:line="240" w:lineRule="auto"/>
              <w:rPr>
                <w:sz w:val="20"/>
                <w:szCs w:val="20"/>
              </w:rPr>
            </w:pPr>
            <w:r w:rsidRPr="005A09C8">
              <w:rPr>
                <w:sz w:val="20"/>
                <w:szCs w:val="20"/>
              </w:rPr>
              <w:t>95,900</w:t>
            </w:r>
          </w:p>
        </w:tc>
        <w:tc>
          <w:tcPr>
            <w:tcW w:w="875" w:type="dxa"/>
          </w:tcPr>
          <w:p w14:paraId="555BAE88" w14:textId="77777777" w:rsidR="005A09C8" w:rsidRPr="005A09C8" w:rsidRDefault="005A09C8" w:rsidP="005A09C8">
            <w:pPr>
              <w:spacing w:line="240" w:lineRule="auto"/>
              <w:rPr>
                <w:sz w:val="20"/>
                <w:szCs w:val="20"/>
              </w:rPr>
            </w:pPr>
            <w:r w:rsidRPr="005A09C8">
              <w:rPr>
                <w:sz w:val="20"/>
                <w:szCs w:val="20"/>
              </w:rPr>
              <w:t>102,050</w:t>
            </w:r>
          </w:p>
        </w:tc>
      </w:tr>
    </w:tbl>
    <w:p w14:paraId="5AF2D1A4" w14:textId="77777777" w:rsidR="005A09C8" w:rsidRDefault="005A09C8" w:rsidP="005A09C8">
      <w:pPr>
        <w:jc w:val="center"/>
        <w:rPr>
          <w:rFonts w:ascii="Times New Roman" w:hAnsi="Times New Roman" w:cs="Times New Roman"/>
          <w:b/>
          <w:bCs/>
          <w:sz w:val="24"/>
          <w:szCs w:val="24"/>
          <w:lang w:val="es-ES"/>
        </w:rPr>
      </w:pPr>
    </w:p>
    <w:p w14:paraId="7D802BC1" w14:textId="5A7B6C1C" w:rsidR="005A09C8" w:rsidRDefault="005A09C8" w:rsidP="005A09C8">
      <w:pPr>
        <w:rPr>
          <w:rFonts w:ascii="Times New Roman" w:hAnsi="Times New Roman" w:cs="Times New Roman"/>
          <w:sz w:val="24"/>
          <w:szCs w:val="24"/>
          <w:lang w:val="es-ES"/>
        </w:rPr>
      </w:pPr>
      <w:r>
        <w:rPr>
          <w:rFonts w:ascii="Times New Roman" w:hAnsi="Times New Roman" w:cs="Times New Roman"/>
          <w:sz w:val="24"/>
          <w:szCs w:val="24"/>
          <w:lang w:val="es-ES"/>
        </w:rPr>
        <w:t>Las solicitudes se pueden enviar en línea con el uso de una computadora personal, computadora portátil, teléfono inteligente o tableta. No se aceptarán solicitudes en persona. Se requiere una dirección de correo electrónico para enviar la solicitud.</w:t>
      </w:r>
    </w:p>
    <w:p w14:paraId="4BEF4550" w14:textId="1524A110" w:rsidR="00F45899" w:rsidRDefault="00F45899" w:rsidP="00F45899">
      <w:pPr>
        <w:spacing w:line="259" w:lineRule="auto"/>
        <w:rPr>
          <w:rFonts w:ascii="Times New Roman" w:hAnsi="Times New Roman" w:cs="Times New Roman"/>
          <w:sz w:val="24"/>
          <w:szCs w:val="24"/>
          <w:lang w:val="es-ES"/>
        </w:rPr>
      </w:pPr>
      <w:r w:rsidRPr="00F45899">
        <w:rPr>
          <w:rFonts w:ascii="Times New Roman" w:hAnsi="Times New Roman" w:cs="Times New Roman"/>
          <w:sz w:val="24"/>
          <w:szCs w:val="24"/>
          <w:lang w:val="es-ES"/>
        </w:rPr>
        <w:lastRenderedPageBreak/>
        <w:t xml:space="preserve">Los solicitantes seleccionados para la lista de espera pueden verificar el estado de su lista de espera en </w:t>
      </w:r>
      <w:hyperlink r:id="rId5" w:history="1">
        <w:r w:rsidR="00C93C08" w:rsidRPr="00F45899">
          <w:rPr>
            <w:rStyle w:val="Hyperlink"/>
            <w:rFonts w:ascii="Times New Roman" w:hAnsi="Times New Roman" w:cs="Times New Roman"/>
            <w:sz w:val="24"/>
            <w:szCs w:val="24"/>
            <w:lang w:val="es-ES"/>
          </w:rPr>
          <w:t>https://pha-web.com/portal/applicant/</w:t>
        </w:r>
        <w:r w:rsidR="00C93C08" w:rsidRPr="0090035F">
          <w:rPr>
            <w:rStyle w:val="Hyperlink"/>
            <w:rFonts w:ascii="Times New Roman" w:hAnsi="Times New Roman" w:cs="Times New Roman"/>
            <w:sz w:val="24"/>
            <w:szCs w:val="24"/>
            <w:lang w:val="es-ES"/>
          </w:rPr>
          <w:t>salem</w:t>
        </w:r>
        <w:r w:rsidR="00C93C08" w:rsidRPr="00F45899">
          <w:rPr>
            <w:rStyle w:val="Hyperlink"/>
            <w:rFonts w:ascii="Times New Roman" w:hAnsi="Times New Roman" w:cs="Times New Roman"/>
            <w:sz w:val="24"/>
            <w:szCs w:val="24"/>
            <w:lang w:val="es-ES"/>
          </w:rPr>
          <w:t>/status.aspx</w:t>
        </w:r>
      </w:hyperlink>
      <w:r w:rsidRPr="00F45899">
        <w:rPr>
          <w:rFonts w:ascii="Times New Roman" w:hAnsi="Times New Roman" w:cs="Times New Roman"/>
          <w:sz w:val="24"/>
          <w:szCs w:val="24"/>
          <w:lang w:val="es-ES"/>
        </w:rPr>
        <w:t xml:space="preserve"> a partir </w:t>
      </w:r>
      <w:r w:rsidR="00C93C08" w:rsidRPr="00F45899">
        <w:rPr>
          <w:rFonts w:ascii="Times New Roman" w:hAnsi="Times New Roman" w:cs="Times New Roman"/>
          <w:sz w:val="24"/>
          <w:szCs w:val="24"/>
          <w:lang w:val="es-ES"/>
        </w:rPr>
        <w:t>de</w:t>
      </w:r>
      <w:r w:rsidR="00C93C08">
        <w:rPr>
          <w:rFonts w:ascii="Times New Roman" w:hAnsi="Times New Roman" w:cs="Times New Roman"/>
          <w:sz w:val="24"/>
          <w:szCs w:val="24"/>
          <w:lang w:val="es-ES"/>
        </w:rPr>
        <w:t>l</w:t>
      </w:r>
      <w:r w:rsidRPr="00F45899">
        <w:rPr>
          <w:rFonts w:ascii="Times New Roman" w:hAnsi="Times New Roman" w:cs="Times New Roman"/>
          <w:sz w:val="24"/>
          <w:szCs w:val="24"/>
          <w:lang w:val="es-ES"/>
        </w:rPr>
        <w:t xml:space="preserve"> 22 de </w:t>
      </w:r>
      <w:r w:rsidR="00C93C08" w:rsidRPr="00F45899">
        <w:rPr>
          <w:rFonts w:ascii="Times New Roman" w:hAnsi="Times New Roman" w:cs="Times New Roman"/>
          <w:sz w:val="24"/>
          <w:szCs w:val="24"/>
          <w:lang w:val="es-ES"/>
        </w:rPr>
        <w:t>febrero</w:t>
      </w:r>
      <w:r w:rsidRPr="00F45899">
        <w:rPr>
          <w:rFonts w:ascii="Times New Roman" w:hAnsi="Times New Roman" w:cs="Times New Roman"/>
          <w:sz w:val="24"/>
          <w:szCs w:val="24"/>
          <w:lang w:val="es-ES"/>
        </w:rPr>
        <w:t xml:space="preserve"> de 2021.</w:t>
      </w:r>
    </w:p>
    <w:p w14:paraId="391B7A9B" w14:textId="77777777" w:rsidR="005A09C8" w:rsidRDefault="005A09C8" w:rsidP="005A09C8">
      <w:pPr>
        <w:rPr>
          <w:rFonts w:ascii="Times New Roman" w:hAnsi="Times New Roman" w:cs="Times New Roman"/>
          <w:sz w:val="24"/>
          <w:szCs w:val="24"/>
          <w:lang w:val="es-ES"/>
        </w:rPr>
      </w:pPr>
      <w:r>
        <w:rPr>
          <w:rFonts w:ascii="Times New Roman" w:hAnsi="Times New Roman" w:cs="Times New Roman"/>
          <w:sz w:val="24"/>
          <w:szCs w:val="24"/>
          <w:lang w:val="es-ES"/>
        </w:rPr>
        <w:t>MHA ofrecerá adaptaciones razonables a las personas discapacitadas según cada caso y tomará en consideración la discapacidad y las necesidades de las personas. Una persona puede llamar al 856-825-8860 para obtener más ayuda.</w:t>
      </w:r>
    </w:p>
    <w:p w14:paraId="2E74CC42" w14:textId="77777777" w:rsidR="00C0444C" w:rsidRPr="00F45899" w:rsidRDefault="00EC56C8">
      <w:pPr>
        <w:rPr>
          <w:lang w:val="es-ES"/>
        </w:rPr>
      </w:pPr>
    </w:p>
    <w:sectPr w:rsidR="00C0444C" w:rsidRPr="00F45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C8"/>
    <w:rsid w:val="000B0FBA"/>
    <w:rsid w:val="001D54F4"/>
    <w:rsid w:val="001E1E75"/>
    <w:rsid w:val="00357391"/>
    <w:rsid w:val="005A09C8"/>
    <w:rsid w:val="00C07B3B"/>
    <w:rsid w:val="00C93C08"/>
    <w:rsid w:val="00EC56C8"/>
    <w:rsid w:val="00F4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6143"/>
  <w15:chartTrackingRefBased/>
  <w15:docId w15:val="{408267F8-D942-4BFE-862D-D37B7DC2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9C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9C8"/>
    <w:rPr>
      <w:color w:val="0563C1" w:themeColor="hyperlink"/>
      <w:u w:val="single"/>
    </w:rPr>
  </w:style>
  <w:style w:type="table" w:styleId="TableGrid">
    <w:name w:val="Table Grid"/>
    <w:basedOn w:val="TableNormal"/>
    <w:uiPriority w:val="39"/>
    <w:rsid w:val="005A09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0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ha-web.com/portal/applicant/salem/status.aspx" TargetMode="External"/><Relationship Id="rId4" Type="http://schemas.openxmlformats.org/officeDocument/2006/relationships/hyperlink" Target="https://pha-web.com/portal/applicant/sa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Gonzalez</dc:creator>
  <cp:keywords/>
  <dc:description/>
  <cp:lastModifiedBy>Karen Chiarello</cp:lastModifiedBy>
  <cp:revision>2</cp:revision>
  <cp:lastPrinted>2021-01-13T17:16:00Z</cp:lastPrinted>
  <dcterms:created xsi:type="dcterms:W3CDTF">2021-01-15T17:16:00Z</dcterms:created>
  <dcterms:modified xsi:type="dcterms:W3CDTF">2021-01-15T17:16:00Z</dcterms:modified>
</cp:coreProperties>
</file>